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350DD" w14:textId="6774862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B96D5E">
        <w:t>4</w:t>
      </w:r>
      <w:r w:rsidR="00D30255">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816D1">
        <w:rPr>
          <w:sz w:val="32"/>
          <w:szCs w:val="32"/>
        </w:rPr>
        <w:t>2</w:t>
      </w:r>
      <w:r w:rsidR="00160D9C">
        <w:rPr>
          <w:sz w:val="32"/>
          <w:szCs w:val="32"/>
        </w:rPr>
        <w:t>1</w:t>
      </w:r>
      <w:r w:rsidR="00DF1F45">
        <w:rPr>
          <w:sz w:val="32"/>
          <w:szCs w:val="32"/>
        </w:rPr>
        <w:t>0</w:t>
      </w:r>
      <w:r w:rsidR="00B0314B">
        <w:rPr>
          <w:sz w:val="32"/>
          <w:szCs w:val="32"/>
        </w:rPr>
        <w:t>0522</w:t>
      </w:r>
    </w:p>
    <w:p w14:paraId="2BB2226D" w14:textId="76A5107C" w:rsidR="00E90E49" w:rsidRPr="00CE0424" w:rsidRDefault="006816D1" w:rsidP="00311702">
      <w:pPr>
        <w:pStyle w:val="3GPPHeader"/>
      </w:pPr>
      <w:proofErr w:type="spellStart"/>
      <w:r w:rsidRPr="006816D1">
        <w:t>eMeeting</w:t>
      </w:r>
      <w:proofErr w:type="spellEnd"/>
      <w:r w:rsidRPr="006816D1">
        <w:t xml:space="preserve">, </w:t>
      </w:r>
      <w:r w:rsidR="00B97A92">
        <w:t xml:space="preserve">January </w:t>
      </w:r>
      <w:r w:rsidR="0053716E">
        <w:t>2</w:t>
      </w:r>
      <w:r w:rsidR="00AA321D">
        <w:t>5</w:t>
      </w:r>
      <w:r w:rsidR="00091250" w:rsidRPr="00091250">
        <w:rPr>
          <w:vertAlign w:val="superscript"/>
        </w:rPr>
        <w:t>th</w:t>
      </w:r>
      <w:r w:rsidR="00091250">
        <w:t xml:space="preserve"> </w:t>
      </w:r>
      <w:r w:rsidRPr="006816D1">
        <w:t>–</w:t>
      </w:r>
      <w:r w:rsidR="00091250">
        <w:t xml:space="preserve"> </w:t>
      </w:r>
      <w:r w:rsidR="00AA321D">
        <w:t xml:space="preserve">February </w:t>
      </w:r>
      <w:r w:rsidR="007754EC">
        <w:t>5</w:t>
      </w:r>
      <w:r w:rsidRPr="006816D1">
        <w:rPr>
          <w:vertAlign w:val="superscript"/>
        </w:rPr>
        <w:t>th</w:t>
      </w:r>
      <w:r w:rsidRPr="006816D1">
        <w:t>, 2020</w:t>
      </w:r>
    </w:p>
    <w:p w14:paraId="6BDF77E7" w14:textId="77777777" w:rsidR="00E90E49" w:rsidRPr="00CE0424" w:rsidRDefault="00E90E49" w:rsidP="00357380">
      <w:pPr>
        <w:pStyle w:val="3GPPHeader"/>
      </w:pPr>
    </w:p>
    <w:p w14:paraId="7707BD9E" w14:textId="2D8CF3F2" w:rsidR="00E90E49" w:rsidRPr="0006270D" w:rsidRDefault="00E90E49" w:rsidP="00311702">
      <w:pPr>
        <w:pStyle w:val="3GPPHeader"/>
        <w:rPr>
          <w:sz w:val="22"/>
          <w:szCs w:val="22"/>
          <w:lang w:val="en-US"/>
        </w:rPr>
      </w:pPr>
      <w:r w:rsidRPr="0006270D">
        <w:rPr>
          <w:sz w:val="22"/>
          <w:szCs w:val="22"/>
          <w:lang w:val="en-US"/>
        </w:rPr>
        <w:t>Agenda Item:</w:t>
      </w:r>
      <w:r w:rsidRPr="0006270D">
        <w:rPr>
          <w:sz w:val="22"/>
          <w:szCs w:val="22"/>
          <w:lang w:val="en-US"/>
        </w:rPr>
        <w:tab/>
      </w:r>
      <w:r w:rsidR="004C6685" w:rsidRPr="0006270D">
        <w:rPr>
          <w:sz w:val="22"/>
          <w:szCs w:val="22"/>
          <w:lang w:val="en-US"/>
        </w:rPr>
        <w:t>7.2.11</w:t>
      </w:r>
    </w:p>
    <w:p w14:paraId="7F025B6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791B6B" w14:textId="5A1DFD24" w:rsidR="00E90E49" w:rsidRPr="004C6685" w:rsidRDefault="003D3C45" w:rsidP="00311702">
      <w:pPr>
        <w:pStyle w:val="3GPPHeader"/>
        <w:rPr>
          <w:sz w:val="22"/>
          <w:szCs w:val="22"/>
        </w:rPr>
      </w:pPr>
      <w:r w:rsidRPr="004C6685">
        <w:rPr>
          <w:sz w:val="22"/>
          <w:szCs w:val="22"/>
        </w:rPr>
        <w:t>Title:</w:t>
      </w:r>
      <w:r w:rsidR="00E90E49" w:rsidRPr="004C6685">
        <w:rPr>
          <w:sz w:val="22"/>
          <w:szCs w:val="22"/>
        </w:rPr>
        <w:tab/>
      </w:r>
      <w:bookmarkStart w:id="0" w:name="_Hlk47739204"/>
      <w:r w:rsidR="000D4EF0">
        <w:rPr>
          <w:sz w:val="22"/>
          <w:szCs w:val="22"/>
        </w:rPr>
        <w:t xml:space="preserve">Remaining details of </w:t>
      </w:r>
      <w:r w:rsidR="0006270D">
        <w:rPr>
          <w:sz w:val="22"/>
          <w:szCs w:val="22"/>
        </w:rPr>
        <w:t>Rel-16 NR UE features</w:t>
      </w:r>
      <w:bookmarkEnd w:id="0"/>
    </w:p>
    <w:p w14:paraId="791D96BC" w14:textId="77777777" w:rsidR="00E90E49" w:rsidRPr="00CE0424" w:rsidRDefault="00E90E49" w:rsidP="00D546FF">
      <w:pPr>
        <w:pStyle w:val="3GPPHeader"/>
        <w:rPr>
          <w:sz w:val="22"/>
          <w:szCs w:val="22"/>
        </w:rPr>
      </w:pPr>
      <w:r w:rsidRPr="004C6685">
        <w:rPr>
          <w:sz w:val="22"/>
          <w:szCs w:val="22"/>
        </w:rPr>
        <w:t>Document for:</w:t>
      </w:r>
      <w:r w:rsidRPr="004C6685">
        <w:rPr>
          <w:sz w:val="22"/>
          <w:szCs w:val="22"/>
        </w:rPr>
        <w:tab/>
        <w:t>Discussion, Decision</w:t>
      </w:r>
    </w:p>
    <w:p w14:paraId="7F2C9358" w14:textId="77777777" w:rsidR="00E90E49" w:rsidRPr="00CE0424" w:rsidRDefault="00E90E49" w:rsidP="00E90E49"/>
    <w:p w14:paraId="6C1D8A48" w14:textId="77777777" w:rsidR="00E90E49" w:rsidRPr="00CE0424" w:rsidRDefault="00230D18" w:rsidP="00CE0424">
      <w:pPr>
        <w:pStyle w:val="Heading1"/>
      </w:pPr>
      <w:bookmarkStart w:id="1" w:name="_Toc47741915"/>
      <w:r>
        <w:t>1</w:t>
      </w:r>
      <w:r>
        <w:tab/>
      </w:r>
      <w:r w:rsidR="00E90E49" w:rsidRPr="00CE0424">
        <w:t>Introduction</w:t>
      </w:r>
      <w:bookmarkEnd w:id="1"/>
    </w:p>
    <w:p w14:paraId="444EDAFA" w14:textId="4BCE8900" w:rsidR="00477768" w:rsidRPr="00CE0424" w:rsidRDefault="003413D3" w:rsidP="00CE0424">
      <w:pPr>
        <w:pStyle w:val="BodyText"/>
      </w:pPr>
      <w:r>
        <w:t xml:space="preserve">In this contribution </w:t>
      </w:r>
      <w:r w:rsidR="00DB29C4">
        <w:t>we discuss</w:t>
      </w:r>
      <w:r w:rsidR="006C5611">
        <w:t xml:space="preserve"> the r</w:t>
      </w:r>
      <w:r w:rsidR="006C5611" w:rsidRPr="006C5611">
        <w:t>emaining details of Rel-16 NR UE features</w:t>
      </w:r>
      <w:r w:rsidR="006C5611">
        <w:t>.</w:t>
      </w:r>
    </w:p>
    <w:p w14:paraId="2033752D" w14:textId="77777777" w:rsidR="004000E8" w:rsidRPr="00CE0424" w:rsidRDefault="00230D18" w:rsidP="00CE0424">
      <w:pPr>
        <w:pStyle w:val="Heading1"/>
      </w:pPr>
      <w:bookmarkStart w:id="2" w:name="_Ref178064866"/>
      <w:bookmarkStart w:id="3" w:name="_Toc47741916"/>
      <w:r>
        <w:t>2</w:t>
      </w:r>
      <w:r>
        <w:tab/>
      </w:r>
      <w:r w:rsidR="004000E8" w:rsidRPr="00CE0424">
        <w:t>Discussion</w:t>
      </w:r>
      <w:bookmarkEnd w:id="2"/>
      <w:bookmarkEnd w:id="3"/>
    </w:p>
    <w:p w14:paraId="2DAFE081" w14:textId="0A4538AF" w:rsidR="00801A31" w:rsidRDefault="00230D18" w:rsidP="00801A31">
      <w:pPr>
        <w:pStyle w:val="Heading2"/>
      </w:pPr>
      <w:bookmarkStart w:id="4" w:name="_Toc47741917"/>
      <w:r>
        <w:t>2.1</w:t>
      </w:r>
      <w:r>
        <w:tab/>
      </w:r>
      <w:r w:rsidR="000B45B6">
        <w:t>2</w:t>
      </w:r>
      <w:r w:rsidR="00A67DAF">
        <w:t>-</w:t>
      </w:r>
      <w:r w:rsidR="000B45B6">
        <w:t>step</w:t>
      </w:r>
      <w:r w:rsidR="00A67DAF">
        <w:t xml:space="preserve"> </w:t>
      </w:r>
      <w:r w:rsidR="000B45B6">
        <w:t>RACH</w:t>
      </w:r>
      <w:bookmarkEnd w:id="4"/>
    </w:p>
    <w:p w14:paraId="3E5FB3D4" w14:textId="0954D2F0" w:rsidR="00801A31" w:rsidRPr="00801A31" w:rsidRDefault="0021429B" w:rsidP="003413D3">
      <w:pPr>
        <w:pStyle w:val="BodyText"/>
      </w:pPr>
      <w:r>
        <w:t xml:space="preserve">There are no open issues for </w:t>
      </w:r>
      <w:r w:rsidR="00092660">
        <w:t>2-</w:t>
      </w:r>
      <w:r w:rsidR="003E0EF3">
        <w:t xml:space="preserve">step RACH UE </w:t>
      </w:r>
      <w:r>
        <w:t>features</w:t>
      </w:r>
      <w:r w:rsidR="003E0EF3">
        <w:t xml:space="preserve"> that we are aware of.</w:t>
      </w:r>
    </w:p>
    <w:p w14:paraId="7DB94B69" w14:textId="341D8734" w:rsidR="00307D0D" w:rsidRDefault="00C2670D" w:rsidP="00307D0D">
      <w:pPr>
        <w:pStyle w:val="Heading2"/>
      </w:pPr>
      <w:bookmarkStart w:id="5" w:name="_Toc47741918"/>
      <w:r>
        <w:t>2.2</w:t>
      </w:r>
      <w:r>
        <w:tab/>
        <w:t>NR-U</w:t>
      </w:r>
      <w:bookmarkStart w:id="6" w:name="_Toc47741931"/>
      <w:bookmarkEnd w:id="5"/>
    </w:p>
    <w:p w14:paraId="486E5621" w14:textId="58F5E8B7" w:rsidR="00782918" w:rsidRDefault="00B11003" w:rsidP="00782918">
      <w:pPr>
        <w:rPr>
          <w:rFonts w:ascii="Arial" w:eastAsia="SimSun" w:hAnsi="Arial" w:cs="Arial"/>
          <w:lang w:val="en-US" w:eastAsia="zh-CN"/>
        </w:rPr>
      </w:pPr>
      <w:r w:rsidRPr="00B11003">
        <w:rPr>
          <w:rFonts w:ascii="Arial" w:eastAsia="SimSun" w:hAnsi="Arial" w:cs="Arial"/>
          <w:noProof/>
          <w:lang w:val="en-US" w:eastAsia="zh-CN"/>
        </w:rPr>
        <mc:AlternateContent>
          <mc:Choice Requires="wps">
            <w:drawing>
              <wp:anchor distT="45720" distB="45720" distL="114300" distR="114300" simplePos="0" relativeHeight="251658240" behindDoc="0" locked="0" layoutInCell="1" allowOverlap="1" wp14:anchorId="6A63B321" wp14:editId="7ECFAC7D">
                <wp:simplePos x="0" y="0"/>
                <wp:positionH relativeFrom="margin">
                  <wp:align>right</wp:align>
                </wp:positionH>
                <wp:positionV relativeFrom="paragraph">
                  <wp:posOffset>469900</wp:posOffset>
                </wp:positionV>
                <wp:extent cx="6086475" cy="7905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790575"/>
                        </a:xfrm>
                        <a:prstGeom prst="rect">
                          <a:avLst/>
                        </a:prstGeom>
                        <a:solidFill>
                          <a:srgbClr val="FFFFFF"/>
                        </a:solidFill>
                        <a:ln w="9525">
                          <a:solidFill>
                            <a:srgbClr val="000000"/>
                          </a:solidFill>
                          <a:miter lim="800000"/>
                          <a:headEnd/>
                          <a:tailEnd/>
                        </a:ln>
                      </wps:spPr>
                      <wps:txbx>
                        <w:txbxContent>
                          <w:p w14:paraId="74A82F17" w14:textId="553814B7" w:rsidR="00AB1DBB" w:rsidRPr="00E8279C" w:rsidRDefault="00AB1DBB" w:rsidP="00B11003">
                            <w:pPr>
                              <w:pStyle w:val="Header"/>
                              <w:overflowPunct/>
                              <w:autoSpaceDE/>
                              <w:autoSpaceDN/>
                              <w:adjustRightInd/>
                              <w:textAlignment w:val="auto"/>
                              <w:rPr>
                                <w:rFonts w:cs="Arial"/>
                                <w:b w:val="0"/>
                                <w:lang w:eastAsia="en-GB"/>
                              </w:rPr>
                            </w:pPr>
                            <w:r w:rsidRPr="00E8279C">
                              <w:rPr>
                                <w:rFonts w:cs="Arial"/>
                                <w:b w:val="0"/>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E8279C">
                              <w:rPr>
                                <w:rFonts w:cs="Arial"/>
                                <w:b w:val="0"/>
                                <w:i/>
                                <w:iCs/>
                                <w:lang w:eastAsia="en-GB"/>
                              </w:rPr>
                              <w:t>ra-ResponseWindow</w:t>
                            </w:r>
                            <w:r w:rsidRPr="00E8279C">
                              <w:rPr>
                                <w:rFonts w:cs="Arial"/>
                                <w:b w:val="0"/>
                                <w:lang w:eastAsia="en-GB"/>
                              </w:rPr>
                              <w:t xml:space="preserve"> larger than 10ms, the network needs to know this capability before initial channel access. RAN2 assumes that this is in line with the RAN1 justification for making the capability optional.</w:t>
                            </w:r>
                          </w:p>
                          <w:p w14:paraId="21219F4F" w14:textId="00E7BC86" w:rsidR="00AB1DBB" w:rsidRDefault="00AB1D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63B321" id="_x0000_t202" coordsize="21600,21600" o:spt="202" path="m,l,21600r21600,l21600,xe">
                <v:stroke joinstyle="miter"/>
                <v:path gradientshapeok="t" o:connecttype="rect"/>
              </v:shapetype>
              <v:shape id="Text Box 2" o:spid="_x0000_s1026" type="#_x0000_t202" style="position:absolute;margin-left:428.05pt;margin-top:37pt;width:479.25pt;height:62.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">
                <v:textbox>
                  <w:txbxContent>
                    <w:p w14:paraId="74A82F17" w14:textId="553814B7" w:rsidR="00AB1DBB" w:rsidRPr="00E8279C" w:rsidRDefault="00AB1DBB" w:rsidP="00B11003">
                      <w:pPr>
                        <w:pStyle w:val="Header"/>
                        <w:overflowPunct/>
                        <w:autoSpaceDE/>
                        <w:autoSpaceDN/>
                        <w:adjustRightInd/>
                        <w:textAlignment w:val="auto"/>
                        <w:rPr>
                          <w:rFonts w:cs="Arial"/>
                          <w:b w:val="0"/>
                          <w:lang w:eastAsia="en-GB"/>
                        </w:rPr>
                      </w:pPr>
                      <w:r w:rsidRPr="00E8279C">
                        <w:rPr>
                          <w:rFonts w:cs="Arial"/>
                          <w:b w:val="0"/>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E8279C">
                        <w:rPr>
                          <w:rFonts w:cs="Arial"/>
                          <w:b w:val="0"/>
                          <w:i/>
                          <w:iCs/>
                          <w:lang w:eastAsia="en-GB"/>
                        </w:rPr>
                        <w:t>ra-ResponseWindow</w:t>
                      </w:r>
                      <w:r w:rsidRPr="00E8279C">
                        <w:rPr>
                          <w:rFonts w:cs="Arial"/>
                          <w:b w:val="0"/>
                          <w:lang w:eastAsia="en-GB"/>
                        </w:rPr>
                        <w:t xml:space="preserve"> larger than 10ms, the network needs to know this capability before initial channel access. RAN2 assumes that this is in line with the RAN1 justification for making the capability optional.</w:t>
                      </w:r>
                    </w:p>
                    <w:p w14:paraId="21219F4F" w14:textId="00E7BC86" w:rsidR="00AB1DBB" w:rsidRDefault="00AB1DBB"/>
                  </w:txbxContent>
                </v:textbox>
                <w10:wrap type="square" anchorx="margin"/>
              </v:shape>
            </w:pict>
          </mc:Fallback>
        </mc:AlternateContent>
      </w:r>
      <w:r w:rsidRPr="00B11003">
        <w:rPr>
          <w:rFonts w:ascii="Arial" w:eastAsia="SimSun" w:hAnsi="Arial" w:cs="Arial"/>
          <w:lang w:val="en-US" w:eastAsia="zh-CN"/>
        </w:rPr>
        <w:t>RAN2</w:t>
      </w:r>
      <w:r>
        <w:rPr>
          <w:rFonts w:ascii="Arial" w:eastAsia="SimSun" w:hAnsi="Arial" w:cs="Arial"/>
          <w:lang w:val="en-US" w:eastAsia="zh-CN"/>
        </w:rPr>
        <w:t xml:space="preserve"> has sent an LS to RAN1 </w:t>
      </w:r>
      <w:r>
        <w:rPr>
          <w:rFonts w:ascii="Arial" w:eastAsia="SimSun" w:hAnsi="Arial" w:cs="Arial"/>
          <w:lang w:val="en-US" w:eastAsia="zh-CN"/>
        </w:rPr>
        <w:fldChar w:fldCharType="begin"/>
      </w:r>
      <w:r>
        <w:rPr>
          <w:rFonts w:ascii="Arial" w:eastAsia="SimSun" w:hAnsi="Arial" w:cs="Arial"/>
          <w:lang w:val="en-US" w:eastAsia="zh-CN"/>
        </w:rPr>
        <w:instrText xml:space="preserve"> REF _Ref61627642 \r \h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[2]</w:t>
      </w:r>
      <w:r>
        <w:rPr>
          <w:rFonts w:ascii="Arial" w:eastAsia="SimSun" w:hAnsi="Arial" w:cs="Arial"/>
          <w:lang w:val="en-US" w:eastAsia="zh-CN"/>
        </w:rPr>
        <w:fldChar w:fldCharType="end"/>
      </w:r>
      <w:r>
        <w:rPr>
          <w:rFonts w:ascii="Arial" w:eastAsia="SimSun" w:hAnsi="Arial" w:cs="Arial"/>
          <w:lang w:val="en-US" w:eastAsia="zh-CN"/>
        </w:rPr>
        <w:t xml:space="preserve"> regarding the optionality of the UE capability on extended RAR window (FG 10-2f) informing RAN1 of the following:</w:t>
      </w:r>
    </w:p>
    <w:p w14:paraId="2D09EDD2" w14:textId="458A6497" w:rsidR="00B11003" w:rsidRDefault="00AB1DBB" w:rsidP="00782918">
      <w:pPr>
        <w:rPr>
          <w:rFonts w:ascii="Arial" w:eastAsia="SimSun" w:hAnsi="Arial" w:cs="Arial"/>
          <w:lang w:val="en-US" w:eastAsia="zh-CN"/>
        </w:rPr>
      </w:pPr>
      <w:r w:rsidRPr="00E8279C">
        <w:rPr>
          <w:rFonts w:ascii="Arial" w:eastAsia="SimSun" w:hAnsi="Arial" w:cs="Arial"/>
          <w:noProof/>
          <w:lang w:val="en-US" w:eastAsia="zh-CN"/>
        </w:rPr>
        <mc:AlternateContent>
          <mc:Choice Requires="wps">
            <w:drawing>
              <wp:anchor distT="45720" distB="45720" distL="114300" distR="114300" simplePos="0" relativeHeight="251658241" behindDoc="0" locked="0" layoutInCell="1" allowOverlap="1" wp14:anchorId="6E601F1D" wp14:editId="4EB2A0BE">
                <wp:simplePos x="0" y="0"/>
                <wp:positionH relativeFrom="margin">
                  <wp:align>right</wp:align>
                </wp:positionH>
                <wp:positionV relativeFrom="paragraph">
                  <wp:posOffset>1757274</wp:posOffset>
                </wp:positionV>
                <wp:extent cx="6086475" cy="1404620"/>
                <wp:effectExtent l="0" t="0" r="28575"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3DCA3DD1" w14:textId="3DB2DD51" w:rsidR="00AB1DBB" w:rsidRPr="00E8279C" w:rsidRDefault="00AB1DBB" w:rsidP="00E8279C">
                            <w:pPr>
                              <w:ind w:left="420"/>
                              <w:rPr>
                                <w:rFonts w:ascii="Arial" w:hAnsi="Arial" w:cs="Arial"/>
                                <w:b/>
                                <w:bCs/>
                                <w:iCs/>
                              </w:rPr>
                            </w:pPr>
                            <w:r w:rsidRPr="00E8279C">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r w:rsidRPr="00E8279C">
                              <w:rPr>
                                <w:rFonts w:ascii="Arial" w:hAnsi="Arial" w:cs="Arial"/>
                                <w:i/>
                                <w:highlight w:val="yellow"/>
                              </w:rPr>
                              <w:t>e.g. UEs supporting only CA/LAA scenario (scenario A in the NR-U WID)</w:t>
                            </w:r>
                            <w:r w:rsidRPr="00E8279C">
                              <w:rPr>
                                <w:rFonts w:ascii="Arial" w:hAnsi="Arial" w:cs="Arial"/>
                                <w:i/>
                              </w:rPr>
                              <w:t xml:space="preserve">. Therefore, RAN1 would like to ask RAN2 to introduce a capability bit for FG10-2f.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601F1D" id="_x0000_s1027" type="#_x0000_t202" style="position:absolute;margin-left:428.05pt;margin-top:138.35pt;width:479.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">
                <v:textbox style="mso-fit-shape-to-text:t">
                  <w:txbxContent>
                    <w:p w14:paraId="3DCA3DD1" w14:textId="3DB2DD51" w:rsidR="00AB1DBB" w:rsidRPr="00E8279C" w:rsidRDefault="00AB1DBB" w:rsidP="00E8279C">
                      <w:pPr>
                        <w:ind w:left="420"/>
                        <w:rPr>
                          <w:rFonts w:ascii="Arial" w:hAnsi="Arial" w:cs="Arial"/>
                          <w:b/>
                          <w:bCs/>
                          <w:iCs/>
                        </w:rPr>
                      </w:pPr>
                      <w:r w:rsidRPr="00E8279C">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r w:rsidRPr="00E8279C">
                        <w:rPr>
                          <w:rFonts w:ascii="Arial" w:hAnsi="Arial" w:cs="Arial"/>
                          <w:i/>
                          <w:highlight w:val="yellow"/>
                        </w:rPr>
                        <w:t>e.g. UEs supporting only CA/LAA scenario (scenario A in the NR-U WID)</w:t>
                      </w:r>
                      <w:r w:rsidRPr="00E8279C">
                        <w:rPr>
                          <w:rFonts w:ascii="Arial" w:hAnsi="Arial" w:cs="Arial"/>
                          <w:i/>
                        </w:rPr>
                        <w:t xml:space="preserve">. Therefore, RAN1 would like to ask RAN2 to introduce a capability bit for FG10-2f. </w:t>
                      </w:r>
                    </w:p>
                  </w:txbxContent>
                </v:textbox>
                <w10:wrap type="topAndBottom" anchorx="margin"/>
              </v:shape>
            </w:pict>
          </mc:Fallback>
        </mc:AlternateContent>
      </w:r>
      <w:r w:rsidR="00B11003">
        <w:rPr>
          <w:rFonts w:ascii="Arial" w:eastAsia="SimSun" w:hAnsi="Arial" w:cs="Arial"/>
          <w:lang w:val="en-US" w:eastAsia="zh-CN"/>
        </w:rPr>
        <w:t xml:space="preserve">The RAN2 decision to make 10-2f mandatory for Scenarios B, C, D, or E was based on the RAN1 reply LS </w:t>
      </w:r>
      <w:r w:rsidR="00E626A2">
        <w:rPr>
          <w:rFonts w:ascii="Arial" w:eastAsia="SimSun" w:hAnsi="Arial" w:cs="Arial"/>
          <w:lang w:val="en-US" w:eastAsia="zh-CN"/>
        </w:rPr>
        <w:fldChar w:fldCharType="begin"/>
      </w:r>
      <w:r w:rsidR="00E626A2">
        <w:rPr>
          <w:rFonts w:ascii="Arial" w:eastAsia="SimSun" w:hAnsi="Arial" w:cs="Arial"/>
          <w:lang w:val="en-US" w:eastAsia="zh-CN"/>
        </w:rPr>
        <w:instrText xml:space="preserve"> REF _Ref61629524 \r \h </w:instrText>
      </w:r>
      <w:r w:rsidR="00E626A2">
        <w:rPr>
          <w:rFonts w:ascii="Arial" w:eastAsia="SimSun" w:hAnsi="Arial" w:cs="Arial"/>
          <w:lang w:val="en-US" w:eastAsia="zh-CN"/>
        </w:rPr>
      </w:r>
      <w:r w:rsidR="00E626A2">
        <w:rPr>
          <w:rFonts w:ascii="Arial" w:eastAsia="SimSun" w:hAnsi="Arial" w:cs="Arial"/>
          <w:lang w:val="en-US" w:eastAsia="zh-CN"/>
        </w:rPr>
        <w:fldChar w:fldCharType="separate"/>
      </w:r>
      <w:r w:rsidR="00E626A2">
        <w:rPr>
          <w:rFonts w:ascii="Arial" w:eastAsia="SimSun" w:hAnsi="Arial" w:cs="Arial"/>
          <w:lang w:val="en-US" w:eastAsia="zh-CN"/>
        </w:rPr>
        <w:t>[3]</w:t>
      </w:r>
      <w:r w:rsidR="00E626A2">
        <w:rPr>
          <w:rFonts w:ascii="Arial" w:eastAsia="SimSun" w:hAnsi="Arial" w:cs="Arial"/>
          <w:lang w:val="en-US" w:eastAsia="zh-CN"/>
        </w:rPr>
        <w:fldChar w:fldCharType="end"/>
      </w:r>
      <w:r w:rsidR="00E626A2">
        <w:rPr>
          <w:rFonts w:ascii="Arial" w:eastAsia="SimSun" w:hAnsi="Arial" w:cs="Arial"/>
          <w:lang w:val="en-US" w:eastAsia="zh-CN"/>
        </w:rPr>
        <w:t xml:space="preserve"> in which</w:t>
      </w:r>
      <w:r w:rsidR="00B11003">
        <w:rPr>
          <w:rFonts w:ascii="Arial" w:eastAsia="SimSun" w:hAnsi="Arial" w:cs="Arial"/>
          <w:lang w:val="en-US" w:eastAsia="zh-CN"/>
        </w:rPr>
        <w:t xml:space="preserve"> </w:t>
      </w:r>
      <w:r>
        <w:rPr>
          <w:rFonts w:ascii="Arial" w:eastAsia="SimSun" w:hAnsi="Arial" w:cs="Arial"/>
          <w:lang w:val="en-US" w:eastAsia="zh-CN"/>
        </w:rPr>
        <w:t>only one example was provided in which the capability should be optional, namely</w:t>
      </w:r>
      <w:r w:rsidR="00E8279C">
        <w:rPr>
          <w:rFonts w:ascii="Arial" w:eastAsia="SimSun" w:hAnsi="Arial" w:cs="Arial"/>
          <w:lang w:val="en-US" w:eastAsia="zh-CN"/>
        </w:rPr>
        <w:t xml:space="preserve"> that it does not make sense that UEs supporting only CA/LAA scenarios (Scenario A) should be required to implement extended RAR window (FG 10-2f)</w:t>
      </w:r>
      <w:r w:rsidR="00E626A2">
        <w:rPr>
          <w:rFonts w:ascii="Arial" w:eastAsia="SimSun" w:hAnsi="Arial" w:cs="Arial"/>
          <w:lang w:val="en-US" w:eastAsia="zh-CN"/>
        </w:rPr>
        <w:t xml:space="preserve"> since the RAR is sent on the PCell in licensed spectrum, where LBT is not used.</w:t>
      </w:r>
    </w:p>
    <w:p w14:paraId="0721151B" w14:textId="3FF863F3" w:rsidR="00E8279C" w:rsidRDefault="00E8279C" w:rsidP="00782918">
      <w:pPr>
        <w:rPr>
          <w:rFonts w:ascii="Arial" w:eastAsia="SimSun" w:hAnsi="Arial" w:cs="Arial"/>
          <w:lang w:val="en-US" w:eastAsia="zh-CN"/>
        </w:rPr>
      </w:pPr>
      <w:r>
        <w:rPr>
          <w:rFonts w:ascii="Arial" w:eastAsia="SimSun" w:hAnsi="Arial" w:cs="Arial"/>
          <w:lang w:val="en-US" w:eastAsia="zh-CN"/>
        </w:rPr>
        <w:t xml:space="preserve">We observe that in the RAN1 </w:t>
      </w:r>
      <w:r w:rsidR="00E626A2">
        <w:rPr>
          <w:rFonts w:ascii="Arial" w:eastAsia="SimSun" w:hAnsi="Arial" w:cs="Arial"/>
          <w:lang w:val="en-US" w:eastAsia="zh-CN"/>
        </w:rPr>
        <w:t xml:space="preserve">reply </w:t>
      </w:r>
      <w:r>
        <w:rPr>
          <w:rFonts w:ascii="Arial" w:eastAsia="SimSun" w:hAnsi="Arial" w:cs="Arial"/>
          <w:lang w:val="en-US" w:eastAsia="zh-CN"/>
        </w:rPr>
        <w:t xml:space="preserve">LS, the CA/LAA scenario was identified only as an </w:t>
      </w:r>
      <w:r w:rsidRPr="00E626A2">
        <w:rPr>
          <w:rFonts w:ascii="Arial" w:eastAsia="SimSun" w:hAnsi="Arial" w:cs="Arial"/>
          <w:highlight w:val="yellow"/>
          <w:lang w:val="en-US" w:eastAsia="zh-CN"/>
        </w:rPr>
        <w:t>example</w:t>
      </w:r>
      <w:r>
        <w:rPr>
          <w:rFonts w:ascii="Arial" w:eastAsia="SimSun" w:hAnsi="Arial" w:cs="Arial"/>
          <w:lang w:val="en-US" w:eastAsia="zh-CN"/>
        </w:rPr>
        <w:t>. It also does not make sense for UEs supporting only FBE (</w:t>
      </w:r>
      <w:r w:rsidR="00AC355B" w:rsidRPr="006577BC">
        <w:rPr>
          <w:i/>
          <w:color w:val="000000"/>
          <w:lang w:val="en-US"/>
        </w:rPr>
        <w:t>ChannelAccessMode-r16 =</w:t>
      </w:r>
      <w:r w:rsidR="00AC355B">
        <w:rPr>
          <w:i/>
          <w:color w:val="000000"/>
          <w:lang w:val="en-US"/>
        </w:rPr>
        <w:t>'</w:t>
      </w:r>
      <w:proofErr w:type="spellStart"/>
      <w:r w:rsidR="00AC355B" w:rsidRPr="006577BC">
        <w:rPr>
          <w:i/>
          <w:color w:val="000000"/>
          <w:lang w:val="en-US"/>
        </w:rPr>
        <w:t>semistatic</w:t>
      </w:r>
      <w:proofErr w:type="spellEnd"/>
      <w:r w:rsidR="00AC355B">
        <w:rPr>
          <w:i/>
          <w:color w:val="000000"/>
          <w:lang w:val="en-US"/>
        </w:rPr>
        <w:t>'</w:t>
      </w:r>
      <w:r>
        <w:rPr>
          <w:rFonts w:ascii="Arial" w:eastAsia="SimSun" w:hAnsi="Arial" w:cs="Arial"/>
          <w:lang w:val="en-US" w:eastAsia="zh-CN"/>
        </w:rPr>
        <w:t xml:space="preserve">) </w:t>
      </w:r>
      <w:r w:rsidR="00AC355B">
        <w:rPr>
          <w:rFonts w:ascii="Arial" w:eastAsia="SimSun" w:hAnsi="Arial" w:cs="Arial"/>
          <w:lang w:val="en-US" w:eastAsia="zh-CN"/>
        </w:rPr>
        <w:t xml:space="preserve">in any of the deployment scenarios to also </w:t>
      </w:r>
      <w:r>
        <w:rPr>
          <w:rFonts w:ascii="Arial" w:eastAsia="SimSun" w:hAnsi="Arial" w:cs="Arial"/>
          <w:lang w:val="en-US" w:eastAsia="zh-CN"/>
        </w:rPr>
        <w:t>support extended RAR window</w:t>
      </w:r>
      <w:r w:rsidR="00AC355B">
        <w:rPr>
          <w:rFonts w:ascii="Arial" w:eastAsia="SimSun" w:hAnsi="Arial" w:cs="Arial"/>
          <w:lang w:val="en-US" w:eastAsia="zh-CN"/>
        </w:rPr>
        <w:t xml:space="preserve">. This is because the </w:t>
      </w:r>
      <w:r>
        <w:rPr>
          <w:rFonts w:ascii="Arial" w:eastAsia="SimSun" w:hAnsi="Arial" w:cs="Arial"/>
          <w:lang w:val="en-US" w:eastAsia="zh-CN"/>
        </w:rPr>
        <w:t xml:space="preserve">likelihood of LBT failure preventing the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from sending the RAR </w:t>
      </w:r>
      <w:r w:rsidR="00AC355B">
        <w:rPr>
          <w:rFonts w:ascii="Arial" w:eastAsia="SimSun" w:hAnsi="Arial" w:cs="Arial"/>
          <w:lang w:val="en-US" w:eastAsia="zh-CN"/>
        </w:rPr>
        <w:t xml:space="preserve">within 10 ms </w:t>
      </w:r>
      <w:r>
        <w:rPr>
          <w:rFonts w:ascii="Arial" w:eastAsia="SimSun" w:hAnsi="Arial" w:cs="Arial"/>
          <w:lang w:val="en-US" w:eastAsia="zh-CN"/>
        </w:rPr>
        <w:t xml:space="preserve">is </w:t>
      </w:r>
      <w:r w:rsidR="00AC355B">
        <w:rPr>
          <w:rFonts w:ascii="Arial" w:eastAsia="SimSun" w:hAnsi="Arial" w:cs="Arial"/>
          <w:lang w:val="en-US" w:eastAsia="zh-CN"/>
        </w:rPr>
        <w:t>extremely</w:t>
      </w:r>
      <w:r>
        <w:rPr>
          <w:rFonts w:ascii="Arial" w:eastAsia="SimSun" w:hAnsi="Arial" w:cs="Arial"/>
          <w:lang w:val="en-US" w:eastAsia="zh-CN"/>
        </w:rPr>
        <w:t xml:space="preserve"> low in a controlled environment, thus making extension of the RAR window not useful in such deployment</w:t>
      </w:r>
      <w:r w:rsidR="00AC355B">
        <w:rPr>
          <w:rFonts w:ascii="Arial" w:eastAsia="SimSun" w:hAnsi="Arial" w:cs="Arial"/>
          <w:lang w:val="en-US" w:eastAsia="zh-CN"/>
        </w:rPr>
        <w:t>s</w:t>
      </w:r>
      <w:r>
        <w:rPr>
          <w:rFonts w:ascii="Arial" w:eastAsia="SimSun" w:hAnsi="Arial" w:cs="Arial"/>
          <w:lang w:val="en-US" w:eastAsia="zh-CN"/>
        </w:rPr>
        <w:t>.</w:t>
      </w:r>
    </w:p>
    <w:p w14:paraId="5C193056" w14:textId="35CD8226" w:rsidR="00E8279C" w:rsidRDefault="00AC355B" w:rsidP="00782918">
      <w:pPr>
        <w:rPr>
          <w:bCs/>
          <w:iCs/>
        </w:rPr>
      </w:pPr>
      <w:r>
        <w:rPr>
          <w:rFonts w:ascii="Arial" w:eastAsia="SimSun" w:hAnsi="Arial" w:cs="Arial"/>
          <w:lang w:val="en-US" w:eastAsia="zh-CN"/>
        </w:rPr>
        <w:lastRenderedPageBreak/>
        <w:t>Based on this</w:t>
      </w:r>
      <w:r w:rsidR="00E626A2">
        <w:rPr>
          <w:rFonts w:ascii="Arial" w:eastAsia="SimSun" w:hAnsi="Arial" w:cs="Arial"/>
          <w:lang w:val="en-US" w:eastAsia="zh-CN"/>
        </w:rPr>
        <w:t>,</w:t>
      </w:r>
      <w:r>
        <w:rPr>
          <w:rFonts w:ascii="Arial" w:eastAsia="SimSun" w:hAnsi="Arial" w:cs="Arial"/>
          <w:lang w:val="en-US" w:eastAsia="zh-CN"/>
        </w:rPr>
        <w:t xml:space="preserve"> we propose that RAN2 updates TS 38.306 to specify that for UEs only supporting FBE in any of Scenarios A, B, C, D, or E the capability parameter </w:t>
      </w:r>
      <w:r w:rsidRPr="00287B12">
        <w:rPr>
          <w:b/>
          <w:i/>
        </w:rPr>
        <w:t>extRA-ResponseWindow-r16</w:t>
      </w:r>
      <w:r>
        <w:rPr>
          <w:bCs/>
          <w:iCs/>
        </w:rPr>
        <w:t xml:space="preserve"> </w:t>
      </w:r>
      <w:r w:rsidRPr="00AC355B">
        <w:rPr>
          <w:rFonts w:ascii="Arial" w:eastAsia="SimSun" w:hAnsi="Arial" w:cs="Arial"/>
          <w:lang w:val="en-US" w:eastAsia="zh-CN"/>
        </w:rPr>
        <w:t>is optional</w:t>
      </w:r>
      <w:r>
        <w:rPr>
          <w:bCs/>
          <w:iCs/>
        </w:rPr>
        <w:t>.</w:t>
      </w:r>
    </w:p>
    <w:p w14:paraId="12380663" w14:textId="4932299F" w:rsidR="00AC355B" w:rsidRDefault="00DE6CA3" w:rsidP="00DE6CA3">
      <w:pPr>
        <w:pStyle w:val="Proposal"/>
        <w:tabs>
          <w:tab w:val="clear" w:pos="1701"/>
        </w:tabs>
        <w:ind w:left="1710" w:hanging="1701"/>
        <w:rPr>
          <w:rFonts w:eastAsia="SimSun"/>
          <w:lang w:val="en-US"/>
        </w:rPr>
      </w:pPr>
      <w:bookmarkStart w:id="7" w:name="_Ref61905340"/>
      <w:bookmarkStart w:id="8" w:name="_Toc61905347"/>
      <w:r>
        <w:rPr>
          <w:rFonts w:eastAsia="SimSun"/>
          <w:lang w:val="en-US"/>
        </w:rPr>
        <w:t>The c</w:t>
      </w:r>
      <w:r w:rsidR="00AC355B">
        <w:rPr>
          <w:rFonts w:eastAsia="SimSun"/>
          <w:lang w:val="en-US"/>
        </w:rPr>
        <w:t xml:space="preserve">apability parameter </w:t>
      </w:r>
      <w:r w:rsidR="00AC355B" w:rsidRPr="00DE6CA3">
        <w:rPr>
          <w:rFonts w:eastAsia="SimSun"/>
          <w:i/>
          <w:iCs/>
          <w:lang w:val="en-US"/>
        </w:rPr>
        <w:t>extRA-ResponseWindow-r16</w:t>
      </w:r>
      <w:r w:rsidR="00AC355B" w:rsidRPr="00DE6CA3">
        <w:rPr>
          <w:rFonts w:eastAsia="SimSun"/>
          <w:lang w:val="en-US"/>
        </w:rPr>
        <w:t xml:space="preserve"> </w:t>
      </w:r>
      <w:r>
        <w:rPr>
          <w:rFonts w:eastAsia="SimSun"/>
          <w:lang w:val="en-US"/>
        </w:rPr>
        <w:t xml:space="preserve">in TS 38.306 (corresponding to FG 10-2f) </w:t>
      </w:r>
      <w:r w:rsidR="00AC355B">
        <w:rPr>
          <w:rFonts w:eastAsia="SimSun"/>
          <w:lang w:val="en-US"/>
        </w:rPr>
        <w:t>should be</w:t>
      </w:r>
      <w:r w:rsidR="00AC355B" w:rsidRPr="00AC355B">
        <w:rPr>
          <w:rFonts w:eastAsia="SimSun"/>
          <w:lang w:val="en-US"/>
        </w:rPr>
        <w:t xml:space="preserve"> optiona</w:t>
      </w:r>
      <w:r w:rsidR="00AC355B">
        <w:rPr>
          <w:rFonts w:eastAsia="SimSun"/>
          <w:lang w:val="en-US"/>
        </w:rPr>
        <w:t>l for UEs supporting FBE</w:t>
      </w:r>
      <w:r>
        <w:rPr>
          <w:rFonts w:eastAsia="SimSun"/>
          <w:lang w:val="en-US"/>
        </w:rPr>
        <w:t xml:space="preserve"> only</w:t>
      </w:r>
      <w:r w:rsidR="00AC355B">
        <w:rPr>
          <w:rFonts w:eastAsia="SimSun"/>
          <w:lang w:val="en-US"/>
        </w:rPr>
        <w:t xml:space="preserve"> (</w:t>
      </w:r>
      <w:r w:rsidR="00AC355B" w:rsidRPr="00DE6CA3">
        <w:rPr>
          <w:rFonts w:eastAsia="SimSun"/>
          <w:i/>
          <w:iCs/>
          <w:lang w:val="en-US"/>
        </w:rPr>
        <w:t>ChannelAccessMode-r16</w:t>
      </w:r>
      <w:r w:rsidR="00AC355B" w:rsidRPr="00DE6CA3">
        <w:rPr>
          <w:rFonts w:eastAsia="SimSun"/>
          <w:lang w:val="en-US"/>
        </w:rPr>
        <w:t xml:space="preserve"> ='</w:t>
      </w:r>
      <w:proofErr w:type="spellStart"/>
      <w:r w:rsidR="00AC355B" w:rsidRPr="00DE6CA3">
        <w:rPr>
          <w:rFonts w:eastAsia="SimSun"/>
          <w:i/>
          <w:iCs/>
          <w:lang w:val="en-US"/>
        </w:rPr>
        <w:t>semistatic</w:t>
      </w:r>
      <w:proofErr w:type="spellEnd"/>
      <w:r w:rsidR="00AC355B" w:rsidRPr="00DE6CA3">
        <w:rPr>
          <w:rFonts w:eastAsia="SimSun"/>
          <w:lang w:val="en-US"/>
        </w:rPr>
        <w:t>'</w:t>
      </w:r>
      <w:r w:rsidR="00AC355B">
        <w:rPr>
          <w:rFonts w:eastAsia="SimSun"/>
          <w:lang w:val="en-US"/>
        </w:rPr>
        <w:t xml:space="preserve">), i.e., </w:t>
      </w:r>
      <w:r>
        <w:rPr>
          <w:rFonts w:eastAsia="SimSun"/>
          <w:lang w:val="en-US"/>
        </w:rPr>
        <w:t xml:space="preserve">UEs that do </w:t>
      </w:r>
      <w:r w:rsidR="00AC355B">
        <w:rPr>
          <w:rFonts w:eastAsia="SimSun"/>
          <w:lang w:val="en-US"/>
        </w:rPr>
        <w:t xml:space="preserve">not </w:t>
      </w:r>
      <w:r>
        <w:rPr>
          <w:rFonts w:eastAsia="SimSun"/>
          <w:lang w:val="en-US"/>
        </w:rPr>
        <w:t xml:space="preserve">also support </w:t>
      </w:r>
      <w:r w:rsidR="00AC355B">
        <w:rPr>
          <w:rFonts w:eastAsia="SimSun"/>
          <w:lang w:val="en-US"/>
        </w:rPr>
        <w:t>LBE (</w:t>
      </w:r>
      <w:r w:rsidR="00AC355B" w:rsidRPr="00DE6CA3">
        <w:rPr>
          <w:rFonts w:eastAsia="SimSun"/>
          <w:i/>
          <w:iCs/>
          <w:lang w:val="en-US"/>
        </w:rPr>
        <w:t>ChannelAccessMode-r16</w:t>
      </w:r>
      <w:r w:rsidR="00AC355B" w:rsidRPr="00DE6CA3">
        <w:rPr>
          <w:rFonts w:eastAsia="SimSun"/>
          <w:lang w:val="en-US"/>
        </w:rPr>
        <w:t xml:space="preserve"> ='</w:t>
      </w:r>
      <w:r w:rsidR="00AC355B" w:rsidRPr="00DE6CA3">
        <w:rPr>
          <w:rFonts w:eastAsia="SimSun"/>
          <w:i/>
          <w:iCs/>
          <w:lang w:val="en-US"/>
        </w:rPr>
        <w:t>dynamic</w:t>
      </w:r>
      <w:r w:rsidR="00AC355B" w:rsidRPr="00DE6CA3">
        <w:rPr>
          <w:rFonts w:eastAsia="SimSun"/>
          <w:lang w:val="en-US"/>
        </w:rPr>
        <w:t>'</w:t>
      </w:r>
      <w:r w:rsidR="00AC355B">
        <w:rPr>
          <w:rFonts w:eastAsia="SimSun"/>
          <w:lang w:val="en-US"/>
        </w:rPr>
        <w:t>). For UEs</w:t>
      </w:r>
      <w:r w:rsidR="00AB1DBB">
        <w:rPr>
          <w:rFonts w:eastAsia="SimSun"/>
          <w:lang w:val="en-US"/>
        </w:rPr>
        <w:t xml:space="preserve"> supporting only FBE</w:t>
      </w:r>
      <w:r w:rsidR="00AC355B">
        <w:rPr>
          <w:rFonts w:eastAsia="SimSun"/>
          <w:lang w:val="en-US"/>
        </w:rPr>
        <w:t xml:space="preserve">, </w:t>
      </w:r>
      <w:r w:rsidR="00AB1DBB">
        <w:rPr>
          <w:rFonts w:eastAsia="SimSun"/>
          <w:lang w:val="en-US"/>
        </w:rPr>
        <w:t>the capability should be optional for</w:t>
      </w:r>
      <w:r w:rsidR="00AC355B">
        <w:rPr>
          <w:rFonts w:eastAsia="SimSun"/>
          <w:lang w:val="en-US"/>
        </w:rPr>
        <w:t xml:space="preserve"> all of Scenarios A, B, C, D, and E listed</w:t>
      </w:r>
      <w:r w:rsidR="00AC355B" w:rsidRPr="00AC355B">
        <w:rPr>
          <w:rFonts w:eastAsia="SimSun"/>
          <w:lang w:val="en-US"/>
        </w:rPr>
        <w:t xml:space="preserve"> in Annex B.3 of TS 38.300</w:t>
      </w:r>
      <w:r w:rsidR="00AC355B">
        <w:rPr>
          <w:rFonts w:eastAsia="SimSun"/>
          <w:lang w:val="en-US"/>
        </w:rPr>
        <w:t>.</w:t>
      </w:r>
      <w:bookmarkEnd w:id="7"/>
      <w:bookmarkEnd w:id="8"/>
    </w:p>
    <w:p w14:paraId="5FEF95FB" w14:textId="2827DF3F" w:rsidR="00AC355B" w:rsidRPr="00AC355B" w:rsidRDefault="00AC355B" w:rsidP="00DE6CA3">
      <w:pPr>
        <w:pStyle w:val="Proposal"/>
        <w:tabs>
          <w:tab w:val="clear" w:pos="1701"/>
        </w:tabs>
        <w:ind w:left="1710" w:hanging="1701"/>
        <w:rPr>
          <w:rFonts w:eastAsia="SimSun"/>
          <w:lang w:val="en-US"/>
        </w:rPr>
      </w:pPr>
      <w:bookmarkStart w:id="9" w:name="_Toc61905348"/>
      <w:r>
        <w:rPr>
          <w:rFonts w:eastAsia="SimSun"/>
          <w:lang w:val="en-US"/>
        </w:rPr>
        <w:t xml:space="preserve">Send </w:t>
      </w:r>
      <w:proofErr w:type="gramStart"/>
      <w:r>
        <w:rPr>
          <w:rFonts w:eastAsia="SimSun"/>
          <w:lang w:val="en-US"/>
        </w:rPr>
        <w:t>an</w:t>
      </w:r>
      <w:proofErr w:type="gramEnd"/>
      <w:r>
        <w:rPr>
          <w:rFonts w:eastAsia="SimSun"/>
          <w:lang w:val="en-US"/>
        </w:rPr>
        <w:t xml:space="preserve"> LS reply to RAN2 informing RAN2 of th</w:t>
      </w:r>
      <w:r w:rsidR="00086240">
        <w:rPr>
          <w:rFonts w:eastAsia="SimSun"/>
          <w:lang w:val="en-US"/>
        </w:rPr>
        <w:t>e</w:t>
      </w:r>
      <w:r>
        <w:rPr>
          <w:rFonts w:eastAsia="SimSun"/>
          <w:lang w:val="en-US"/>
        </w:rPr>
        <w:t xml:space="preserve"> recommendation</w:t>
      </w:r>
      <w:r w:rsidR="00086240">
        <w:rPr>
          <w:rFonts w:eastAsia="SimSun"/>
          <w:lang w:val="en-US"/>
        </w:rPr>
        <w:t xml:space="preserve"> in </w:t>
      </w:r>
      <w:r w:rsidR="00086240">
        <w:rPr>
          <w:rFonts w:eastAsia="SimSun"/>
          <w:lang w:val="en-US"/>
        </w:rPr>
        <w:fldChar w:fldCharType="begin"/>
      </w:r>
      <w:r w:rsidR="00086240">
        <w:rPr>
          <w:rFonts w:eastAsia="SimSun"/>
          <w:lang w:val="en-US"/>
        </w:rPr>
        <w:instrText xml:space="preserve"> REF _Ref61905340 \r \h </w:instrText>
      </w:r>
      <w:r w:rsidR="00086240">
        <w:rPr>
          <w:rFonts w:eastAsia="SimSun"/>
          <w:lang w:val="en-US"/>
        </w:rPr>
      </w:r>
      <w:r w:rsidR="00086240">
        <w:rPr>
          <w:rFonts w:eastAsia="SimSun"/>
          <w:lang w:val="en-US"/>
        </w:rPr>
        <w:fldChar w:fldCharType="separate"/>
      </w:r>
      <w:r w:rsidR="00086240">
        <w:rPr>
          <w:rFonts w:eastAsia="SimSun"/>
          <w:lang w:val="en-US"/>
        </w:rPr>
        <w:t>Proposal 1</w:t>
      </w:r>
      <w:bookmarkEnd w:id="9"/>
      <w:r w:rsidR="00086240">
        <w:rPr>
          <w:rFonts w:eastAsia="SimSun"/>
          <w:lang w:val="en-US"/>
        </w:rPr>
        <w:fldChar w:fldCharType="end"/>
      </w:r>
    </w:p>
    <w:p w14:paraId="6CFBDEC4" w14:textId="1F543D1D" w:rsidR="000B45B6" w:rsidRDefault="00D53056" w:rsidP="000B45B6">
      <w:pPr>
        <w:pStyle w:val="Heading2"/>
        <w:rPr>
          <w:lang w:val="en-US"/>
        </w:rPr>
      </w:pPr>
      <w:r>
        <w:rPr>
          <w:lang w:val="en-US"/>
        </w:rPr>
        <w:t xml:space="preserve">2.3 </w:t>
      </w:r>
      <w:r>
        <w:rPr>
          <w:lang w:val="en-US"/>
        </w:rPr>
        <w:tab/>
      </w:r>
      <w:r w:rsidR="000B45B6" w:rsidRPr="0006270D">
        <w:rPr>
          <w:lang w:val="en-US"/>
        </w:rPr>
        <w:t>URLLC</w:t>
      </w:r>
      <w:bookmarkEnd w:id="6"/>
    </w:p>
    <w:p w14:paraId="6539A4A1" w14:textId="02412FFD" w:rsidR="00184DDC" w:rsidRDefault="00184DDC" w:rsidP="00230EEB">
      <w:pPr>
        <w:pStyle w:val="Heading3"/>
      </w:pPr>
      <w:r>
        <w:t>2.</w:t>
      </w:r>
      <w:r w:rsidR="00230EEB">
        <w:t>3.</w:t>
      </w:r>
      <w:r>
        <w:t>1</w:t>
      </w:r>
      <w:r>
        <w:tab/>
        <w:t>Rel-16 PDCCH monitoring capability for the CA case</w:t>
      </w:r>
    </w:p>
    <w:p w14:paraId="6F6DAE2B" w14:textId="10A5FA34" w:rsidR="00184DDC" w:rsidRDefault="00184DDC" w:rsidP="00184DDC">
      <w:pPr>
        <w:pStyle w:val="BodyText"/>
      </w:pPr>
      <w:r>
        <w:t xml:space="preserve">Rel-16 introduces new UE PDCCH monitoring capability on the maximum numbers of blind decodes and non-overlapped CCEs where the limits are defined per span </w:t>
      </w:r>
      <w:r w:rsidR="00D32A04">
        <w:t>(see 38.213 V16.4.0)</w:t>
      </w:r>
      <w:r>
        <w:t>.</w:t>
      </w:r>
    </w:p>
    <w:p w14:paraId="5DBFA739" w14:textId="207CDEDD" w:rsidR="00184DDC" w:rsidRDefault="00184DDC" w:rsidP="00184DDC">
      <w:pPr>
        <w:pStyle w:val="BodyText"/>
      </w:pPr>
      <w:r>
        <w:t>When a UE is configured to monitor multiple</w:t>
      </w:r>
      <w:r w:rsidRPr="00AF0C5F">
        <w:t xml:space="preserve"> </w:t>
      </w:r>
      <w:r>
        <w:t>DL</w:t>
      </w:r>
      <w:r w:rsidRPr="00A86F23">
        <w:t xml:space="preserve"> cells with</w:t>
      </w:r>
      <w:r>
        <w:t xml:space="preserve"> Rel-16 PDCCH monitoring capability for a given (X,Y), if the number of configured DL</w:t>
      </w:r>
      <w:r w:rsidRPr="00A86F23">
        <w:t xml:space="preserve"> cells is larger than the UE capability reported value, the total PDCCH monitoring limits are scaled proportionally to the UE reported value.</w:t>
      </w:r>
      <w:r>
        <w:t xml:space="preserve"> In such case, PDCCH monitoring spans across the concerned DL cells may be determined to be aligned or unaligned and the total limits are applied to a set of spans across the DL cells in a different manner</w:t>
      </w:r>
      <w:r w:rsidR="009F7E12">
        <w:t xml:space="preserve"> (</w:t>
      </w:r>
      <w:bookmarkStart w:id="10" w:name="_Hlk61801118"/>
      <w:r w:rsidR="009F7E12">
        <w:t>see 38.213 V16.4.0 section 10.1</w:t>
      </w:r>
      <w:bookmarkEnd w:id="10"/>
      <w:r w:rsidR="009F7E12">
        <w:t>)</w:t>
      </w:r>
      <w:r>
        <w:t>.</w:t>
      </w:r>
    </w:p>
    <w:p w14:paraId="06B0D6AB" w14:textId="77777777" w:rsidR="00184DDC" w:rsidRDefault="00184DDC" w:rsidP="00184DDC">
      <w:pPr>
        <w:pStyle w:val="BodyText"/>
      </w:pPr>
    </w:p>
    <w:p w14:paraId="492810B3" w14:textId="77777777" w:rsidR="00184DDC" w:rsidRDefault="00184DDC" w:rsidP="00184DDC">
      <w:pPr>
        <w:pStyle w:val="BodyText"/>
      </w:pPr>
      <w:r>
        <w:t>In Rel-16, additional UE features (FG 11-2a to FG 11-2e) are introduced for UEs supporting Rel-16 PDCCH monitoring. Later UE feature discussions revolve around whether and how to support UEs with lower complexity for Rel-16 PDCCH monitoring, especially for determining whether the spans across the DL cells are aligned or unaligned in case that the number of configured DL</w:t>
      </w:r>
      <w:r w:rsidRPr="00A86F23">
        <w:t xml:space="preserve"> cells is larger than the UE reported value</w:t>
      </w:r>
      <w:r>
        <w:t>.</w:t>
      </w:r>
    </w:p>
    <w:p w14:paraId="21156DCF" w14:textId="77777777" w:rsidR="00184DDC" w:rsidRDefault="00184DDC" w:rsidP="00184DDC">
      <w:pPr>
        <w:pStyle w:val="BodyText"/>
      </w:pPr>
    </w:p>
    <w:p w14:paraId="4E225C50" w14:textId="77777777" w:rsidR="00184DDC" w:rsidRDefault="00184DDC" w:rsidP="00184DDC">
      <w:pPr>
        <w:pStyle w:val="BodyText"/>
      </w:pPr>
      <w:r>
        <w:t xml:space="preserve">In RAN1 #103-e </w:t>
      </w:r>
      <w:r>
        <w:fldChar w:fldCharType="begin"/>
      </w:r>
      <w:r>
        <w:instrText xml:space="preserve"> REF OLE_LINK8 \r \h </w:instrText>
      </w:r>
      <w:r>
        <w:fldChar w:fldCharType="separate"/>
      </w:r>
      <w:r>
        <w:t>[2]</w:t>
      </w:r>
      <w:r>
        <w:fldChar w:fldCharType="end"/>
      </w:r>
      <w:r>
        <w:t>, the following working assumption was made for potential additional UE features related to Rel-16 PDCCH monitoring.</w:t>
      </w:r>
    </w:p>
    <w:p w14:paraId="173C5928" w14:textId="77777777" w:rsidR="00184DDC" w:rsidRPr="00582FC5" w:rsidRDefault="00184DDC" w:rsidP="00184DDC">
      <w:pPr>
        <w:spacing w:after="0"/>
        <w:rPr>
          <w:rFonts w:ascii="Times" w:hAnsi="Times" w:cs="Times"/>
          <w:b/>
          <w:bCs/>
        </w:rPr>
      </w:pPr>
      <w:r w:rsidRPr="00582FC5">
        <w:rPr>
          <w:rFonts w:ascii="Times" w:hAnsi="Times" w:cs="Times"/>
          <w:b/>
          <w:bCs/>
          <w:highlight w:val="darkYellow"/>
        </w:rPr>
        <w:t>Work assumption:</w:t>
      </w:r>
      <w:r w:rsidRPr="00582FC5">
        <w:rPr>
          <w:rFonts w:ascii="Times" w:hAnsi="Times" w:cs="Times"/>
          <w:b/>
          <w:bCs/>
        </w:rPr>
        <w:t xml:space="preserve"> </w:t>
      </w:r>
    </w:p>
    <w:p w14:paraId="0135232F" w14:textId="77777777" w:rsidR="00184DDC" w:rsidRPr="00582FC5" w:rsidRDefault="00184DDC" w:rsidP="00184DDC">
      <w:pPr>
        <w:numPr>
          <w:ilvl w:val="0"/>
          <w:numId w:val="28"/>
        </w:numPr>
        <w:overflowPunct/>
        <w:autoSpaceDE/>
        <w:autoSpaceDN/>
        <w:adjustRightInd/>
        <w:spacing w:after="0"/>
        <w:textAlignment w:val="auto"/>
        <w:rPr>
          <w:rFonts w:ascii="Times" w:eastAsia="Yu Gothic" w:hAnsi="Times" w:cs="Times"/>
          <w:b/>
          <w:bCs/>
        </w:rPr>
      </w:pPr>
      <w:r w:rsidRPr="00582FC5">
        <w:rPr>
          <w:rFonts w:ascii="Times" w:eastAsia="Yu Gothic" w:hAnsi="Times" w:cs="Times" w:hint="eastAsia"/>
          <w:b/>
          <w:bCs/>
        </w:rPr>
        <w:t>T</w:t>
      </w:r>
      <w:r w:rsidRPr="00582FC5">
        <w:rPr>
          <w:rFonts w:ascii="Times" w:eastAsia="Yu Gothic" w:hAnsi="Times" w:cs="Times"/>
          <w:b/>
          <w:bCs/>
        </w:rPr>
        <w:t>he replicated FGs of 11-2a/c[d/e] with restriction for non-aligned span case are added to RAN1 UE features list</w:t>
      </w:r>
    </w:p>
    <w:p w14:paraId="6E9378C5" w14:textId="77777777" w:rsidR="00184DDC" w:rsidRPr="00582FC5" w:rsidRDefault="00184DDC" w:rsidP="00184DDC">
      <w:pPr>
        <w:numPr>
          <w:ilvl w:val="1"/>
          <w:numId w:val="28"/>
        </w:numPr>
        <w:overflowPunct/>
        <w:autoSpaceDE/>
        <w:autoSpaceDN/>
        <w:adjustRightInd/>
        <w:spacing w:after="0"/>
        <w:textAlignment w:val="auto"/>
        <w:rPr>
          <w:rFonts w:ascii="Times" w:eastAsia="Yu Gothic" w:hAnsi="Times" w:cs="Times"/>
          <w:b/>
          <w:bCs/>
        </w:rPr>
      </w:pPr>
      <w:r w:rsidRPr="00582FC5">
        <w:rPr>
          <w:rFonts w:ascii="Times" w:eastAsia="Yu Gothic" w:hAnsi="Times" w:cs="Times"/>
          <w:b/>
          <w:bCs/>
        </w:rPr>
        <w:t>Component 2 of new FGs is below</w:t>
      </w:r>
    </w:p>
    <w:p w14:paraId="2A8D0E56" w14:textId="77777777" w:rsidR="00184DDC" w:rsidRPr="00582FC5" w:rsidRDefault="00184DDC" w:rsidP="00184DDC">
      <w:pPr>
        <w:numPr>
          <w:ilvl w:val="2"/>
          <w:numId w:val="28"/>
        </w:numPr>
        <w:overflowPunct/>
        <w:autoSpaceDE/>
        <w:autoSpaceDN/>
        <w:adjustRightInd/>
        <w:spacing w:after="0"/>
        <w:textAlignment w:val="auto"/>
        <w:rPr>
          <w:rFonts w:ascii="Times" w:eastAsia="Yu Gothic" w:hAnsi="Times" w:cs="Times"/>
          <w:b/>
          <w:bCs/>
        </w:rPr>
      </w:pPr>
      <w:r w:rsidRPr="00582FC5">
        <w:rPr>
          <w:rFonts w:ascii="Times" w:eastAsia="Yu Gothic" w:hAnsi="Times" w:cs="Times"/>
          <w:b/>
          <w:bCs/>
        </w:rPr>
        <w:t>UE supports aligned span and non-aligned span</w:t>
      </w:r>
    </w:p>
    <w:p w14:paraId="006BC67F" w14:textId="77777777" w:rsidR="00184DDC" w:rsidRDefault="00184DDC" w:rsidP="00184DDC">
      <w:pPr>
        <w:numPr>
          <w:ilvl w:val="3"/>
          <w:numId w:val="28"/>
        </w:numPr>
        <w:overflowPunct/>
        <w:autoSpaceDE/>
        <w:autoSpaceDN/>
        <w:adjustRightInd/>
        <w:spacing w:after="0"/>
        <w:textAlignment w:val="auto"/>
        <w:rPr>
          <w:rFonts w:ascii="Times" w:eastAsia="Yu Gothic" w:hAnsi="Times" w:cs="Times"/>
          <w:b/>
          <w:bCs/>
        </w:rPr>
      </w:pPr>
      <w:r w:rsidRPr="00582FC5">
        <w:rPr>
          <w:rFonts w:ascii="Times" w:eastAsia="Yu Gothic" w:hAnsi="Times" w:cs="Times"/>
          <w:b/>
          <w:bCs/>
        </w:rPr>
        <w:t xml:space="preserve">In case of non-aligned span when the configured number of cells with Rel-16 PDCCH monitoring is larger than the UE reported value, </w:t>
      </w:r>
      <w:r w:rsidRPr="00582FC5">
        <w:rPr>
          <w:rFonts w:ascii="Times" w:eastAsia="Yu Gothic" w:hAnsi="Times" w:cs="Times" w:hint="eastAsia"/>
          <w:b/>
          <w:bCs/>
        </w:rPr>
        <w:t>P</w:t>
      </w:r>
      <w:r w:rsidRPr="00582FC5">
        <w:rPr>
          <w:rFonts w:ascii="Times" w:eastAsia="Yu Gothic" w:hAnsi="Times" w:cs="Times"/>
          <w:b/>
          <w:bCs/>
        </w:rPr>
        <w:t>DCCH monitoring occasion(s) should be configured only on same symbol(s) every slot</w:t>
      </w:r>
    </w:p>
    <w:p w14:paraId="41AAB407" w14:textId="77777777" w:rsidR="00184DDC" w:rsidRPr="00582FC5" w:rsidRDefault="00184DDC" w:rsidP="00184DDC">
      <w:pPr>
        <w:spacing w:after="0"/>
        <w:ind w:left="1680"/>
        <w:rPr>
          <w:rFonts w:ascii="Times" w:eastAsia="Yu Gothic" w:hAnsi="Times" w:cs="Times"/>
          <w:b/>
          <w:bCs/>
        </w:rPr>
      </w:pPr>
    </w:p>
    <w:p w14:paraId="4CC94BBB" w14:textId="77777777" w:rsidR="00184DDC" w:rsidRDefault="00184DDC" w:rsidP="00184DDC"/>
    <w:p w14:paraId="616B2C68" w14:textId="77777777" w:rsidR="00184DDC" w:rsidRPr="0003098E" w:rsidRDefault="00184DDC" w:rsidP="00184DDC">
      <w:pPr>
        <w:rPr>
          <w:rFonts w:ascii="Arial" w:hAnsi="Arial" w:cs="Arial"/>
        </w:rPr>
      </w:pPr>
      <w:r w:rsidRPr="0003098E">
        <w:rPr>
          <w:rFonts w:ascii="Arial" w:hAnsi="Arial" w:cs="Arial"/>
        </w:rPr>
        <w:t>The new UE features are aimed at reducing UE complexity in determining whether the spans across the DL cells are aligned. Since the notion of aligned or unaligned spans are relevant for Rel-16 PDCCH monitoring only when the number of configured DL cells where UE monitors PDCCH is larger than the UE capability reported value, it is reasonable that these new UE features are introduced only for such case.</w:t>
      </w:r>
    </w:p>
    <w:p w14:paraId="67938C10" w14:textId="20D08A6B" w:rsidR="00184DDC" w:rsidRPr="0003098E" w:rsidRDefault="009F7E12" w:rsidP="00184DDC">
      <w:pPr>
        <w:rPr>
          <w:rFonts w:ascii="Arial" w:hAnsi="Arial" w:cs="Arial"/>
        </w:rPr>
      </w:pPr>
      <w:proofErr w:type="gramStart"/>
      <w:r>
        <w:rPr>
          <w:rFonts w:ascii="Arial" w:hAnsi="Arial" w:cs="Arial"/>
        </w:rPr>
        <w:t>Thus</w:t>
      </w:r>
      <w:proofErr w:type="gramEnd"/>
      <w:r>
        <w:rPr>
          <w:rFonts w:ascii="Arial" w:hAnsi="Arial" w:cs="Arial"/>
        </w:rPr>
        <w:t xml:space="preserve"> the working assumption above can be confirmed. </w:t>
      </w:r>
      <w:r w:rsidR="002302B2">
        <w:rPr>
          <w:rFonts w:ascii="Arial" w:hAnsi="Arial" w:cs="Arial"/>
        </w:rPr>
        <w:t>For CA, t</w:t>
      </w:r>
      <w:r>
        <w:rPr>
          <w:rFonts w:ascii="Arial" w:hAnsi="Arial" w:cs="Arial"/>
        </w:rPr>
        <w:t>he changes described by the WA are realized by introducing two</w:t>
      </w:r>
      <w:r w:rsidR="00184DDC" w:rsidRPr="0003098E">
        <w:rPr>
          <w:rFonts w:ascii="Arial" w:hAnsi="Arial" w:cs="Arial"/>
        </w:rPr>
        <w:t xml:space="preserve"> new UE features, e.g., FG 11-2f and 11-2g, </w:t>
      </w:r>
      <w:r>
        <w:rPr>
          <w:rFonts w:ascii="Arial" w:hAnsi="Arial" w:cs="Arial"/>
        </w:rPr>
        <w:t xml:space="preserve">which </w:t>
      </w:r>
      <w:r w:rsidR="00184DDC" w:rsidRPr="0003098E">
        <w:rPr>
          <w:rFonts w:ascii="Arial" w:hAnsi="Arial" w:cs="Arial"/>
        </w:rPr>
        <w:t>replicat</w:t>
      </w:r>
      <w:r>
        <w:rPr>
          <w:rFonts w:ascii="Arial" w:hAnsi="Arial" w:cs="Arial"/>
        </w:rPr>
        <w:t>e</w:t>
      </w:r>
      <w:r w:rsidR="00184DDC" w:rsidRPr="0003098E">
        <w:rPr>
          <w:rFonts w:ascii="Arial" w:hAnsi="Arial" w:cs="Arial"/>
        </w:rPr>
        <w:t xml:space="preserve"> FG 11-2a and 11-2c with </w:t>
      </w:r>
      <w:r>
        <w:rPr>
          <w:rFonts w:ascii="Arial" w:hAnsi="Arial" w:cs="Arial"/>
        </w:rPr>
        <w:t xml:space="preserve">the component 2 described </w:t>
      </w:r>
      <w:r w:rsidR="00184DDC" w:rsidRPr="0003098E">
        <w:rPr>
          <w:rFonts w:ascii="Arial" w:hAnsi="Arial" w:cs="Arial"/>
        </w:rPr>
        <w:t>for the non-aligned span case.</w:t>
      </w:r>
      <w:r>
        <w:rPr>
          <w:rFonts w:ascii="Arial" w:hAnsi="Arial" w:cs="Arial"/>
        </w:rPr>
        <w:t xml:space="preserve"> </w:t>
      </w:r>
      <w:r w:rsidRPr="0003098E">
        <w:rPr>
          <w:rFonts w:ascii="Arial" w:hAnsi="Arial" w:cs="Arial"/>
        </w:rPr>
        <w:t>Example of the new UE features FG 11-2f and 11-2g, replicating FG 11-2a and 11-2c are provided in the table below.</w:t>
      </w:r>
      <w:r w:rsidR="00184DDC" w:rsidRPr="0003098E">
        <w:rPr>
          <w:rFonts w:ascii="Arial" w:hAnsi="Arial" w:cs="Arial"/>
        </w:rPr>
        <w:t xml:space="preserve"> Note that the UE should report either FG 11-2a/c</w:t>
      </w:r>
      <w:r>
        <w:rPr>
          <w:rFonts w:ascii="Arial" w:hAnsi="Arial" w:cs="Arial"/>
        </w:rPr>
        <w:t xml:space="preserve"> (i.e., more capable UEs)</w:t>
      </w:r>
      <w:r w:rsidR="00184DDC" w:rsidRPr="0003098E">
        <w:rPr>
          <w:rFonts w:ascii="Arial" w:hAnsi="Arial" w:cs="Arial"/>
        </w:rPr>
        <w:t xml:space="preserve"> or FG 11-2f/g</w:t>
      </w:r>
      <w:r>
        <w:rPr>
          <w:rFonts w:ascii="Arial" w:hAnsi="Arial" w:cs="Arial"/>
        </w:rPr>
        <w:t xml:space="preserve"> (i.e., less capable UEs), but not both</w:t>
      </w:r>
      <w:r w:rsidR="00184DDC" w:rsidRPr="0003098E">
        <w:rPr>
          <w:rFonts w:ascii="Arial" w:hAnsi="Arial" w:cs="Arial"/>
        </w:rP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98"/>
        <w:gridCol w:w="3298"/>
        <w:gridCol w:w="4407"/>
      </w:tblGrid>
      <w:tr w:rsidR="00FE15CD" w:rsidRPr="00CD20C2" w14:paraId="7AAF9CD6" w14:textId="77777777" w:rsidTr="00443EDF">
        <w:trPr>
          <w:trHeight w:val="20"/>
        </w:trPr>
        <w:tc>
          <w:tcPr>
            <w:tcW w:w="1697" w:type="dxa"/>
            <w:tcBorders>
              <w:top w:val="single" w:sz="4" w:space="0" w:color="auto"/>
              <w:left w:val="single" w:sz="4" w:space="0" w:color="auto"/>
              <w:bottom w:val="single" w:sz="4" w:space="0" w:color="auto"/>
              <w:right w:val="single" w:sz="4" w:space="0" w:color="auto"/>
            </w:tcBorders>
            <w:hideMark/>
          </w:tcPr>
          <w:p w14:paraId="6242B372" w14:textId="77777777" w:rsidR="00FE15CD" w:rsidRPr="00CD20C2" w:rsidRDefault="00FE15CD" w:rsidP="00443EDF">
            <w:pPr>
              <w:pStyle w:val="TAL"/>
              <w:rPr>
                <w:rFonts w:ascii="Times New Roman" w:hAnsi="Times New Roman"/>
                <w:szCs w:val="18"/>
                <w:lang w:eastAsia="ja-JP"/>
              </w:rPr>
            </w:pPr>
            <w:r w:rsidRPr="00CD20C2">
              <w:rPr>
                <w:rFonts w:ascii="Times New Roman" w:hAnsi="Times New Roman"/>
                <w:szCs w:val="18"/>
                <w:lang w:eastAsia="ja-JP"/>
              </w:rPr>
              <w:lastRenderedPageBreak/>
              <w:t xml:space="preserve">11. </w:t>
            </w:r>
          </w:p>
          <w:p w14:paraId="33EB07CA" w14:textId="77777777" w:rsidR="00FE15CD" w:rsidRPr="00CD20C2" w:rsidRDefault="00FE15CD" w:rsidP="00443EDF">
            <w:pPr>
              <w:pStyle w:val="TAL"/>
              <w:rPr>
                <w:rFonts w:ascii="Times New Roman" w:hAnsi="Times New Roman"/>
                <w:szCs w:val="18"/>
                <w:lang w:eastAsia="ja-JP"/>
              </w:rPr>
            </w:pPr>
            <w:r w:rsidRPr="00CD20C2">
              <w:rPr>
                <w:rFonts w:ascii="Times New Roman" w:hAnsi="Times New Roman"/>
                <w:szCs w:val="18"/>
                <w:lang w:eastAsia="ja-JP"/>
              </w:rPr>
              <w:t>NR_L1enh_URLLC</w:t>
            </w:r>
          </w:p>
        </w:tc>
        <w:tc>
          <w:tcPr>
            <w:tcW w:w="698" w:type="dxa"/>
            <w:tcBorders>
              <w:top w:val="single" w:sz="4" w:space="0" w:color="auto"/>
              <w:left w:val="single" w:sz="4" w:space="0" w:color="auto"/>
              <w:bottom w:val="single" w:sz="4" w:space="0" w:color="auto"/>
              <w:right w:val="single" w:sz="4" w:space="0" w:color="auto"/>
            </w:tcBorders>
            <w:hideMark/>
          </w:tcPr>
          <w:p w14:paraId="5A968F06" w14:textId="77777777" w:rsidR="00FE15CD" w:rsidRPr="00CD20C2" w:rsidRDefault="00FE15CD" w:rsidP="00443EDF">
            <w:pPr>
              <w:pStyle w:val="TAL"/>
              <w:rPr>
                <w:rFonts w:ascii="Times New Roman" w:eastAsia="SimSun" w:hAnsi="Times New Roman"/>
                <w:color w:val="FF0000"/>
                <w:szCs w:val="18"/>
                <w:lang w:eastAsia="zh-CN"/>
              </w:rPr>
            </w:pPr>
            <w:r w:rsidRPr="00CD20C2">
              <w:rPr>
                <w:rFonts w:ascii="Times New Roman" w:eastAsia="SimSun" w:hAnsi="Times New Roman"/>
                <w:color w:val="FF0000"/>
                <w:szCs w:val="18"/>
                <w:lang w:eastAsia="zh-CN"/>
              </w:rPr>
              <w:t>11-2f</w:t>
            </w:r>
          </w:p>
        </w:tc>
        <w:tc>
          <w:tcPr>
            <w:tcW w:w="3298" w:type="dxa"/>
            <w:tcBorders>
              <w:top w:val="single" w:sz="4" w:space="0" w:color="auto"/>
              <w:left w:val="single" w:sz="4" w:space="0" w:color="auto"/>
              <w:bottom w:val="single" w:sz="4" w:space="0" w:color="auto"/>
              <w:right w:val="single" w:sz="4" w:space="0" w:color="auto"/>
            </w:tcBorders>
            <w:hideMark/>
          </w:tcPr>
          <w:p w14:paraId="5CF9AD53" w14:textId="77777777" w:rsidR="00FE15CD" w:rsidRPr="00CD20C2" w:rsidRDefault="00FE15CD" w:rsidP="00443EDF">
            <w:pPr>
              <w:pStyle w:val="TAL"/>
              <w:rPr>
                <w:rFonts w:ascii="Times New Roman" w:eastAsia="SimSun" w:hAnsi="Times New Roman"/>
                <w:szCs w:val="18"/>
                <w:lang w:eastAsia="zh-CN"/>
              </w:rPr>
            </w:pPr>
            <w:r w:rsidRPr="00CD20C2">
              <w:rPr>
                <w:rFonts w:ascii="Times New Roman" w:eastAsia="SimSun" w:hAnsi="Times New Roman"/>
                <w:szCs w:val="18"/>
                <w:lang w:eastAsia="zh-CN"/>
              </w:rPr>
              <w:t xml:space="preserve">Capability on the number of CCs for monitoring a maximum number of BDs and non-overlapped CCEs per span when configured with DL CA with Rel-16 PDCCH monitoring capability on all the serving cells </w:t>
            </w:r>
            <w:r w:rsidRPr="00CD20C2">
              <w:rPr>
                <w:rFonts w:ascii="Times New Roman" w:eastAsia="SimSun" w:hAnsi="Times New Roman"/>
                <w:color w:val="FF0000"/>
                <w:szCs w:val="18"/>
                <w:lang w:eastAsia="zh-CN"/>
              </w:rPr>
              <w:t>and the configured number of cells with Rel-16 PDCCH monitoring is larger than the UE reported value</w:t>
            </w:r>
          </w:p>
        </w:tc>
        <w:tc>
          <w:tcPr>
            <w:tcW w:w="4407" w:type="dxa"/>
            <w:tcBorders>
              <w:top w:val="single" w:sz="4" w:space="0" w:color="auto"/>
              <w:left w:val="single" w:sz="4" w:space="0" w:color="auto"/>
              <w:bottom w:val="single" w:sz="4" w:space="0" w:color="auto"/>
              <w:right w:val="single" w:sz="4" w:space="0" w:color="auto"/>
            </w:tcBorders>
            <w:hideMark/>
          </w:tcPr>
          <w:p w14:paraId="717B2250" w14:textId="77777777" w:rsidR="00FE15CD" w:rsidRPr="00CD20C2" w:rsidRDefault="00FE15CD" w:rsidP="00443EDF">
            <w:pPr>
              <w:pStyle w:val="TAL"/>
              <w:numPr>
                <w:ilvl w:val="0"/>
                <w:numId w:val="29"/>
              </w:numPr>
              <w:overflowPunct/>
              <w:autoSpaceDE/>
              <w:autoSpaceDN/>
              <w:adjustRightInd/>
              <w:textAlignment w:val="auto"/>
              <w:rPr>
                <w:rFonts w:ascii="Times New Roman" w:hAnsi="Times New Roman"/>
                <w:szCs w:val="18"/>
                <w:lang w:val="en-US" w:eastAsia="ja-JP"/>
              </w:rPr>
            </w:pPr>
            <w:r w:rsidRPr="00CD20C2">
              <w:rPr>
                <w:rFonts w:ascii="Times New Roman" w:hAnsi="Times New Roman"/>
                <w:szCs w:val="18"/>
                <w:lang w:val="en-US" w:eastAsia="ja-JP"/>
              </w:rPr>
              <w:t>Capability on the number of CCs for monitoring a maximum number of BDs and non-overlapped CCEs per span when configured with DL CA with Rel-16 PDCCH monitoring capability on all the serving cells</w:t>
            </w:r>
          </w:p>
          <w:p w14:paraId="1BE05D1D" w14:textId="77777777" w:rsidR="00FE15CD" w:rsidRPr="00CD20C2" w:rsidRDefault="00FE15CD" w:rsidP="00443EDF">
            <w:pPr>
              <w:pStyle w:val="ListParagraph"/>
              <w:numPr>
                <w:ilvl w:val="1"/>
                <w:numId w:val="29"/>
              </w:numPr>
              <w:overflowPunct/>
              <w:autoSpaceDE/>
              <w:autoSpaceDN/>
              <w:adjustRightInd/>
              <w:textAlignment w:val="auto"/>
              <w:rPr>
                <w:rFonts w:ascii="Times New Roman" w:eastAsiaTheme="minorEastAsia" w:hAnsi="Times New Roman"/>
                <w:sz w:val="18"/>
                <w:szCs w:val="18"/>
                <w:lang w:val="en-US"/>
              </w:rPr>
            </w:pPr>
            <w:r w:rsidRPr="00CD20C2">
              <w:rPr>
                <w:rFonts w:ascii="Times New Roman" w:eastAsiaTheme="minorEastAsia" w:hAnsi="Times New Roman"/>
                <w:sz w:val="18"/>
                <w:szCs w:val="18"/>
                <w:lang w:val="en-US"/>
              </w:rPr>
              <w:t>Candidate value for the component: {2, 3, …, 16}</w:t>
            </w:r>
          </w:p>
          <w:p w14:paraId="0960D35E" w14:textId="77777777" w:rsidR="00FE15CD" w:rsidRPr="00CD20C2" w:rsidRDefault="00FE15CD" w:rsidP="00443EDF">
            <w:pPr>
              <w:pStyle w:val="ListParagraph"/>
              <w:numPr>
                <w:ilvl w:val="0"/>
                <w:numId w:val="29"/>
              </w:numPr>
              <w:overflowPunct/>
              <w:autoSpaceDE/>
              <w:autoSpaceDN/>
              <w:adjustRightInd/>
              <w:textAlignment w:val="auto"/>
              <w:rPr>
                <w:rFonts w:ascii="Times New Roman" w:eastAsiaTheme="minorEastAsia" w:hAnsi="Times New Roman"/>
                <w:sz w:val="18"/>
                <w:szCs w:val="18"/>
                <w:lang w:val="en-US"/>
              </w:rPr>
            </w:pPr>
            <w:r w:rsidRPr="00CD20C2">
              <w:rPr>
                <w:rFonts w:ascii="Times New Roman" w:eastAsiaTheme="minorEastAsia" w:hAnsi="Times New Roman"/>
                <w:sz w:val="18"/>
                <w:szCs w:val="18"/>
                <w:lang w:val="en-US"/>
              </w:rPr>
              <w:t>Supported span arrangement for CA</w:t>
            </w:r>
          </w:p>
          <w:p w14:paraId="6299689B" w14:textId="77777777" w:rsidR="00FE15CD" w:rsidRPr="00CD20C2" w:rsidRDefault="00FE15CD" w:rsidP="00443EDF">
            <w:pPr>
              <w:pStyle w:val="ListParagraph"/>
              <w:numPr>
                <w:ilvl w:val="1"/>
                <w:numId w:val="29"/>
              </w:numPr>
              <w:overflowPunct/>
              <w:autoSpaceDE/>
              <w:autoSpaceDN/>
              <w:adjustRightInd/>
              <w:textAlignment w:val="auto"/>
              <w:rPr>
                <w:rFonts w:ascii="Times New Roman" w:eastAsiaTheme="minorEastAsia" w:hAnsi="Times New Roman"/>
                <w:sz w:val="18"/>
                <w:szCs w:val="18"/>
                <w:lang w:val="en-US"/>
              </w:rPr>
            </w:pPr>
            <w:r w:rsidRPr="00CD20C2">
              <w:rPr>
                <w:rFonts w:ascii="Times New Roman" w:eastAsia="MS Mincho" w:hAnsi="Times New Roman"/>
                <w:sz w:val="18"/>
                <w:szCs w:val="18"/>
                <w:lang w:val="en-US"/>
              </w:rPr>
              <w:t>Candidate value for the component: {aligned spans only, aligned spans and non-aligned spans}</w:t>
            </w:r>
          </w:p>
          <w:p w14:paraId="324EE9A3" w14:textId="77777777" w:rsidR="00FE15CD" w:rsidRPr="00CD20C2" w:rsidRDefault="00FE15CD" w:rsidP="00443EDF">
            <w:pPr>
              <w:pStyle w:val="ListParagraph"/>
              <w:numPr>
                <w:ilvl w:val="1"/>
                <w:numId w:val="29"/>
              </w:numPr>
              <w:overflowPunct/>
              <w:autoSpaceDE/>
              <w:autoSpaceDN/>
              <w:adjustRightInd/>
              <w:textAlignment w:val="auto"/>
              <w:rPr>
                <w:rFonts w:ascii="Times New Roman" w:eastAsiaTheme="minorEastAsia" w:hAnsi="Times New Roman"/>
                <w:color w:val="FF0000"/>
                <w:sz w:val="18"/>
                <w:szCs w:val="18"/>
                <w:lang w:val="en-US"/>
              </w:rPr>
            </w:pPr>
            <w:r w:rsidRPr="00CD20C2">
              <w:rPr>
                <w:rFonts w:ascii="Times New Roman" w:eastAsiaTheme="minorEastAsia" w:hAnsi="Times New Roman"/>
                <w:color w:val="FF0000"/>
                <w:sz w:val="18"/>
                <w:szCs w:val="18"/>
                <w:lang w:val="en-US"/>
              </w:rPr>
              <w:t xml:space="preserve">For UE supporting both aligned spans and non-aligned spans, </w:t>
            </w:r>
          </w:p>
          <w:p w14:paraId="1865D833" w14:textId="77777777" w:rsidR="00FE15CD" w:rsidRPr="00CD20C2" w:rsidRDefault="00FE15CD" w:rsidP="00443EDF">
            <w:pPr>
              <w:numPr>
                <w:ilvl w:val="2"/>
                <w:numId w:val="29"/>
              </w:numPr>
              <w:overflowPunct/>
              <w:autoSpaceDE/>
              <w:autoSpaceDN/>
              <w:adjustRightInd/>
              <w:spacing w:after="0"/>
              <w:textAlignment w:val="auto"/>
              <w:rPr>
                <w:rFonts w:eastAsia="Yu Gothic"/>
                <w:color w:val="FF0000"/>
                <w:sz w:val="18"/>
                <w:szCs w:val="18"/>
              </w:rPr>
            </w:pPr>
            <w:r w:rsidRPr="00CD20C2">
              <w:rPr>
                <w:rFonts w:eastAsia="Yu Gothic"/>
                <w:color w:val="FF0000"/>
                <w:sz w:val="18"/>
                <w:szCs w:val="18"/>
              </w:rPr>
              <w:t>In case of non-aligned span when the configured number of cells with Rel-16 PDCCH monitoring is larger than the UE reported value, PDCCH monitoring occasion(s) should be configured only on same symbol(s) every slot</w:t>
            </w:r>
          </w:p>
          <w:p w14:paraId="1623E908" w14:textId="77777777" w:rsidR="00FE15CD" w:rsidRPr="00CD20C2" w:rsidRDefault="00FE15CD" w:rsidP="00443EDF">
            <w:pPr>
              <w:rPr>
                <w:rFonts w:eastAsiaTheme="minorEastAsia"/>
                <w:sz w:val="18"/>
                <w:szCs w:val="18"/>
              </w:rPr>
            </w:pPr>
          </w:p>
        </w:tc>
      </w:tr>
      <w:tr w:rsidR="00FE15CD" w:rsidRPr="00CD20C2" w14:paraId="2B2AF3F9" w14:textId="77777777" w:rsidTr="00443EDF">
        <w:trPr>
          <w:trHeight w:val="20"/>
        </w:trPr>
        <w:tc>
          <w:tcPr>
            <w:tcW w:w="1697" w:type="dxa"/>
            <w:tcBorders>
              <w:top w:val="single" w:sz="4" w:space="0" w:color="auto"/>
              <w:left w:val="single" w:sz="4" w:space="0" w:color="auto"/>
              <w:bottom w:val="single" w:sz="4" w:space="0" w:color="auto"/>
              <w:right w:val="single" w:sz="4" w:space="0" w:color="auto"/>
            </w:tcBorders>
            <w:hideMark/>
          </w:tcPr>
          <w:p w14:paraId="3E20C224" w14:textId="77777777" w:rsidR="00FE15CD" w:rsidRPr="00CD20C2" w:rsidRDefault="00FE15CD" w:rsidP="00443EDF">
            <w:pPr>
              <w:pStyle w:val="TAL"/>
              <w:rPr>
                <w:rFonts w:ascii="Times New Roman" w:hAnsi="Times New Roman"/>
                <w:szCs w:val="18"/>
                <w:lang w:eastAsia="ja-JP"/>
              </w:rPr>
            </w:pPr>
            <w:r w:rsidRPr="00CD20C2">
              <w:rPr>
                <w:rFonts w:ascii="Times New Roman" w:hAnsi="Times New Roman"/>
                <w:szCs w:val="18"/>
                <w:lang w:eastAsia="ja-JP"/>
              </w:rPr>
              <w:t xml:space="preserve">11. </w:t>
            </w:r>
          </w:p>
          <w:p w14:paraId="09C4B76C" w14:textId="77777777" w:rsidR="00FE15CD" w:rsidRPr="00CD20C2" w:rsidRDefault="00FE15CD" w:rsidP="00443EDF">
            <w:pPr>
              <w:pStyle w:val="TAL"/>
              <w:rPr>
                <w:rFonts w:ascii="Times New Roman" w:hAnsi="Times New Roman"/>
                <w:szCs w:val="18"/>
                <w:lang w:eastAsia="ja-JP"/>
              </w:rPr>
            </w:pPr>
            <w:r w:rsidRPr="00CD20C2">
              <w:rPr>
                <w:rFonts w:ascii="Times New Roman" w:hAnsi="Times New Roman"/>
                <w:szCs w:val="18"/>
                <w:lang w:eastAsia="ja-JP"/>
              </w:rPr>
              <w:t>NR_L1enh_URLLC</w:t>
            </w:r>
          </w:p>
        </w:tc>
        <w:tc>
          <w:tcPr>
            <w:tcW w:w="698" w:type="dxa"/>
            <w:tcBorders>
              <w:top w:val="single" w:sz="4" w:space="0" w:color="auto"/>
              <w:left w:val="single" w:sz="4" w:space="0" w:color="auto"/>
              <w:bottom w:val="single" w:sz="4" w:space="0" w:color="auto"/>
              <w:right w:val="single" w:sz="4" w:space="0" w:color="auto"/>
            </w:tcBorders>
            <w:hideMark/>
          </w:tcPr>
          <w:p w14:paraId="5ABD63A1" w14:textId="77777777" w:rsidR="00FE15CD" w:rsidRPr="00CD20C2" w:rsidRDefault="00FE15CD" w:rsidP="00443EDF">
            <w:pPr>
              <w:pStyle w:val="TAL"/>
              <w:rPr>
                <w:rFonts w:ascii="Times New Roman" w:eastAsia="SimSun" w:hAnsi="Times New Roman"/>
                <w:color w:val="FF0000"/>
                <w:szCs w:val="18"/>
                <w:lang w:eastAsia="zh-CN"/>
              </w:rPr>
            </w:pPr>
            <w:r w:rsidRPr="00CD20C2">
              <w:rPr>
                <w:rFonts w:ascii="Times New Roman" w:eastAsia="SimSun" w:hAnsi="Times New Roman"/>
                <w:color w:val="FF0000"/>
                <w:szCs w:val="18"/>
                <w:lang w:eastAsia="zh-CN"/>
              </w:rPr>
              <w:t>11-2g</w:t>
            </w:r>
          </w:p>
        </w:tc>
        <w:tc>
          <w:tcPr>
            <w:tcW w:w="3298" w:type="dxa"/>
            <w:tcBorders>
              <w:top w:val="single" w:sz="4" w:space="0" w:color="auto"/>
              <w:left w:val="single" w:sz="4" w:space="0" w:color="auto"/>
              <w:bottom w:val="single" w:sz="4" w:space="0" w:color="auto"/>
              <w:right w:val="single" w:sz="4" w:space="0" w:color="auto"/>
            </w:tcBorders>
            <w:hideMark/>
          </w:tcPr>
          <w:p w14:paraId="2EA3F693" w14:textId="77777777" w:rsidR="00FE15CD" w:rsidRPr="00CD20C2" w:rsidRDefault="00FE15CD" w:rsidP="00443EDF">
            <w:pPr>
              <w:pStyle w:val="TAL"/>
              <w:rPr>
                <w:rFonts w:ascii="Times New Roman" w:eastAsia="SimSun" w:hAnsi="Times New Roman"/>
                <w:szCs w:val="18"/>
                <w:lang w:eastAsia="zh-CN"/>
              </w:rPr>
            </w:pPr>
            <w:r w:rsidRPr="00CD20C2">
              <w:rPr>
                <w:rFonts w:ascii="Times New Roman" w:eastAsia="SimSun" w:hAnsi="Times New Roman"/>
                <w:szCs w:val="18"/>
                <w:lang w:eastAsia="zh-CN"/>
              </w:rPr>
              <w:t xml:space="preserve">Number of carriers for CCE/BD scaling with DL CA with mix of Rel. 16 and Rel. 15 PDCCH monitoring capabilities on different carriers </w:t>
            </w:r>
            <w:r w:rsidRPr="00CD20C2">
              <w:rPr>
                <w:rFonts w:ascii="Times New Roman" w:eastAsia="SimSun" w:hAnsi="Times New Roman"/>
                <w:color w:val="FF0000"/>
                <w:szCs w:val="18"/>
                <w:lang w:eastAsia="zh-CN"/>
              </w:rPr>
              <w:t>and the configured number of cells with Rel-16 PDCCH monitoring is larger than the UE reported value</w:t>
            </w:r>
          </w:p>
        </w:tc>
        <w:tc>
          <w:tcPr>
            <w:tcW w:w="4407" w:type="dxa"/>
            <w:tcBorders>
              <w:top w:val="single" w:sz="4" w:space="0" w:color="auto"/>
              <w:left w:val="single" w:sz="4" w:space="0" w:color="auto"/>
              <w:bottom w:val="single" w:sz="4" w:space="0" w:color="auto"/>
              <w:right w:val="single" w:sz="4" w:space="0" w:color="auto"/>
            </w:tcBorders>
            <w:hideMark/>
          </w:tcPr>
          <w:p w14:paraId="63372C22" w14:textId="77777777" w:rsidR="00FE15CD" w:rsidRPr="00CD20C2" w:rsidRDefault="00FE15CD" w:rsidP="00443EDF">
            <w:pPr>
              <w:pStyle w:val="TAL"/>
              <w:numPr>
                <w:ilvl w:val="0"/>
                <w:numId w:val="30"/>
              </w:numPr>
              <w:overflowPunct/>
              <w:autoSpaceDE/>
              <w:autoSpaceDN/>
              <w:adjustRightInd/>
              <w:textAlignment w:val="auto"/>
              <w:rPr>
                <w:rFonts w:ascii="Times New Roman" w:hAnsi="Times New Roman"/>
                <w:szCs w:val="18"/>
                <w:lang w:val="en-US" w:eastAsia="ja-JP"/>
              </w:rPr>
            </w:pPr>
            <w:r w:rsidRPr="00CD20C2">
              <w:rPr>
                <w:rFonts w:ascii="Times New Roman" w:hAnsi="Times New Roman"/>
                <w:szCs w:val="18"/>
                <w:lang w:val="en-US" w:eastAsia="ja-JP"/>
              </w:rPr>
              <w:t>Supported combination(s) of (pdcch-BlindDetectionCA-R15, pdcch-BlindDetectionCA-R16)</w:t>
            </w:r>
          </w:p>
          <w:p w14:paraId="56A5002C" w14:textId="77777777" w:rsidR="00FE15CD" w:rsidRPr="00CD20C2" w:rsidRDefault="00FE15CD" w:rsidP="00443EDF">
            <w:pPr>
              <w:pStyle w:val="TAL"/>
              <w:numPr>
                <w:ilvl w:val="1"/>
                <w:numId w:val="30"/>
              </w:numPr>
              <w:overflowPunct/>
              <w:autoSpaceDE/>
              <w:autoSpaceDN/>
              <w:adjustRightInd/>
              <w:textAlignment w:val="auto"/>
              <w:rPr>
                <w:rFonts w:ascii="Times New Roman" w:hAnsi="Times New Roman"/>
                <w:szCs w:val="18"/>
                <w:lang w:val="en-US" w:eastAsia="ja-JP"/>
              </w:rPr>
            </w:pPr>
            <w:r w:rsidRPr="00CD20C2">
              <w:rPr>
                <w:rFonts w:ascii="Times New Roman" w:hAnsi="Times New Roman"/>
                <w:szCs w:val="18"/>
                <w:lang w:val="en-US" w:eastAsia="ja-JP"/>
              </w:rPr>
              <w:t>Candidate values for pdcch-BlindDetectionCA-R15 is 1 to 15</w:t>
            </w:r>
          </w:p>
          <w:p w14:paraId="13048070" w14:textId="77777777" w:rsidR="00FE15CD" w:rsidRPr="00CD20C2" w:rsidRDefault="00FE15CD" w:rsidP="00443EDF">
            <w:pPr>
              <w:pStyle w:val="TAL"/>
              <w:numPr>
                <w:ilvl w:val="1"/>
                <w:numId w:val="30"/>
              </w:numPr>
              <w:overflowPunct/>
              <w:autoSpaceDE/>
              <w:autoSpaceDN/>
              <w:adjustRightInd/>
              <w:textAlignment w:val="auto"/>
              <w:rPr>
                <w:rFonts w:ascii="Times New Roman" w:hAnsi="Times New Roman"/>
                <w:szCs w:val="18"/>
                <w:lang w:val="en-US" w:eastAsia="ja-JP"/>
              </w:rPr>
            </w:pPr>
            <w:r w:rsidRPr="00CD20C2">
              <w:rPr>
                <w:rFonts w:ascii="Times New Roman" w:hAnsi="Times New Roman"/>
                <w:szCs w:val="18"/>
                <w:lang w:val="en-US" w:eastAsia="ja-JP"/>
              </w:rPr>
              <w:t>Candidate values for pdcch-BlindDetectionCA-R16 is 1 to 15</w:t>
            </w:r>
          </w:p>
          <w:p w14:paraId="2EC0041B" w14:textId="77777777" w:rsidR="00FE15CD" w:rsidRPr="00CD20C2" w:rsidRDefault="00FE15CD" w:rsidP="00443EDF">
            <w:pPr>
              <w:pStyle w:val="ListParagraph"/>
              <w:numPr>
                <w:ilvl w:val="0"/>
                <w:numId w:val="30"/>
              </w:numPr>
              <w:overflowPunct/>
              <w:autoSpaceDE/>
              <w:autoSpaceDN/>
              <w:adjustRightInd/>
              <w:textAlignment w:val="auto"/>
              <w:rPr>
                <w:rFonts w:ascii="Times New Roman" w:eastAsiaTheme="minorEastAsia" w:hAnsi="Times New Roman"/>
                <w:sz w:val="18"/>
                <w:szCs w:val="18"/>
                <w:lang w:val="en-US"/>
              </w:rPr>
            </w:pPr>
            <w:r w:rsidRPr="00CD20C2">
              <w:rPr>
                <w:rFonts w:ascii="Times New Roman" w:eastAsiaTheme="minorEastAsia" w:hAnsi="Times New Roman"/>
                <w:sz w:val="18"/>
                <w:szCs w:val="18"/>
                <w:lang w:val="en-US"/>
              </w:rPr>
              <w:t>Supported span arrangement for CA</w:t>
            </w:r>
          </w:p>
          <w:p w14:paraId="176A5B39" w14:textId="77777777" w:rsidR="00FE15CD" w:rsidRPr="00CD20C2" w:rsidRDefault="00FE15CD" w:rsidP="00443EDF">
            <w:pPr>
              <w:pStyle w:val="TAL"/>
              <w:numPr>
                <w:ilvl w:val="1"/>
                <w:numId w:val="30"/>
              </w:numPr>
              <w:overflowPunct/>
              <w:autoSpaceDE/>
              <w:autoSpaceDN/>
              <w:adjustRightInd/>
              <w:textAlignment w:val="auto"/>
              <w:rPr>
                <w:rFonts w:ascii="Times New Roman" w:hAnsi="Times New Roman"/>
                <w:szCs w:val="18"/>
                <w:lang w:val="en-US" w:eastAsia="ja-JP"/>
              </w:rPr>
            </w:pPr>
            <w:r w:rsidRPr="00CD20C2">
              <w:rPr>
                <w:rFonts w:ascii="Times New Roman" w:eastAsia="MS Mincho" w:hAnsi="Times New Roman"/>
                <w:szCs w:val="18"/>
                <w:lang w:val="en-US"/>
              </w:rPr>
              <w:t>Candidate value for the component: {aligned spans only, aligned spans and non-aligned spans}</w:t>
            </w:r>
          </w:p>
          <w:p w14:paraId="663A6442" w14:textId="77777777" w:rsidR="00FE15CD" w:rsidRPr="00CD20C2" w:rsidRDefault="00FE15CD" w:rsidP="00443EDF">
            <w:pPr>
              <w:pStyle w:val="ListParagraph"/>
              <w:numPr>
                <w:ilvl w:val="1"/>
                <w:numId w:val="30"/>
              </w:numPr>
              <w:overflowPunct/>
              <w:autoSpaceDE/>
              <w:autoSpaceDN/>
              <w:adjustRightInd/>
              <w:textAlignment w:val="auto"/>
              <w:rPr>
                <w:rFonts w:ascii="Times New Roman" w:eastAsiaTheme="minorEastAsia" w:hAnsi="Times New Roman"/>
                <w:color w:val="FF0000"/>
                <w:sz w:val="18"/>
                <w:szCs w:val="18"/>
                <w:lang w:val="en-US"/>
              </w:rPr>
            </w:pPr>
            <w:r w:rsidRPr="00CD20C2">
              <w:rPr>
                <w:rFonts w:ascii="Times New Roman" w:eastAsiaTheme="minorEastAsia" w:hAnsi="Times New Roman"/>
                <w:color w:val="FF0000"/>
                <w:sz w:val="18"/>
                <w:szCs w:val="18"/>
                <w:lang w:val="en-US"/>
              </w:rPr>
              <w:t xml:space="preserve">For UE supporting both aligned spans and non-aligned spans, </w:t>
            </w:r>
          </w:p>
          <w:p w14:paraId="69252DE9" w14:textId="77777777" w:rsidR="00FE15CD" w:rsidRPr="00CD20C2" w:rsidRDefault="00FE15CD" w:rsidP="00443EDF">
            <w:pPr>
              <w:numPr>
                <w:ilvl w:val="2"/>
                <w:numId w:val="30"/>
              </w:numPr>
              <w:overflowPunct/>
              <w:autoSpaceDE/>
              <w:autoSpaceDN/>
              <w:adjustRightInd/>
              <w:spacing w:after="0"/>
              <w:textAlignment w:val="auto"/>
              <w:rPr>
                <w:rFonts w:eastAsia="Yu Gothic"/>
                <w:color w:val="FF0000"/>
                <w:sz w:val="18"/>
                <w:szCs w:val="18"/>
              </w:rPr>
            </w:pPr>
            <w:r w:rsidRPr="00CD20C2">
              <w:rPr>
                <w:rFonts w:eastAsia="Yu Gothic"/>
                <w:color w:val="FF0000"/>
                <w:sz w:val="18"/>
                <w:szCs w:val="18"/>
              </w:rPr>
              <w:t>In case of non-aligned span when the configured number of cells with Rel-16 PDCCH monitoring is larger than the UE reported value, PDCCH monitoring occasion(s) should be configured only on same symbol(s) every slot</w:t>
            </w:r>
          </w:p>
          <w:p w14:paraId="525F401A" w14:textId="77777777" w:rsidR="00FE15CD" w:rsidRPr="00CD20C2" w:rsidRDefault="00FE15CD" w:rsidP="00443EDF">
            <w:pPr>
              <w:pStyle w:val="TAL"/>
              <w:ind w:left="840"/>
              <w:rPr>
                <w:rFonts w:ascii="Times New Roman" w:hAnsi="Times New Roman"/>
                <w:szCs w:val="18"/>
                <w:lang w:val="en-US" w:eastAsia="ja-JP"/>
              </w:rPr>
            </w:pPr>
          </w:p>
        </w:tc>
      </w:tr>
    </w:tbl>
    <w:p w14:paraId="42D0E089" w14:textId="5C0D5E0A" w:rsidR="00FE15CD" w:rsidRDefault="00FE15CD" w:rsidP="00184DDC">
      <w:pPr>
        <w:rPr>
          <w:lang w:val="en-US"/>
        </w:rPr>
      </w:pPr>
    </w:p>
    <w:p w14:paraId="2C99131C" w14:textId="154BD3FF" w:rsidR="002302B2" w:rsidRPr="0003098E" w:rsidRDefault="002302B2" w:rsidP="002302B2">
      <w:pPr>
        <w:rPr>
          <w:rFonts w:ascii="Arial" w:hAnsi="Arial" w:cs="Arial"/>
        </w:rPr>
      </w:pPr>
      <w:r>
        <w:rPr>
          <w:rFonts w:ascii="Arial" w:hAnsi="Arial" w:cs="Arial"/>
        </w:rPr>
        <w:t>For NR-DC, the PDCCH monitoring capability builds on top of the CA monitoring capability (</w:t>
      </w:r>
      <w:r w:rsidRPr="002302B2">
        <w:rPr>
          <w:rFonts w:ascii="Arial" w:hAnsi="Arial" w:cs="Arial"/>
        </w:rPr>
        <w:t>see 38.213 V16.4.0 section 10.1</w:t>
      </w:r>
      <w:r>
        <w:rPr>
          <w:rFonts w:ascii="Arial" w:hAnsi="Arial" w:cs="Arial"/>
        </w:rPr>
        <w:t xml:space="preserve">). </w:t>
      </w:r>
      <w:proofErr w:type="gramStart"/>
      <w:r>
        <w:rPr>
          <w:rFonts w:ascii="Arial" w:hAnsi="Arial" w:cs="Arial"/>
        </w:rPr>
        <w:t>Thus</w:t>
      </w:r>
      <w:proofErr w:type="gramEnd"/>
      <w:r>
        <w:rPr>
          <w:rFonts w:ascii="Arial" w:hAnsi="Arial" w:cs="Arial"/>
        </w:rPr>
        <w:t xml:space="preserve"> s</w:t>
      </w:r>
      <w:r w:rsidRPr="0003098E">
        <w:rPr>
          <w:rFonts w:ascii="Arial" w:hAnsi="Arial" w:cs="Arial"/>
        </w:rPr>
        <w:t>imilar UE features for the case when a UE is configured for NR-DC operation can be considered, i.e., new UE features</w:t>
      </w:r>
      <w:r>
        <w:rPr>
          <w:rFonts w:ascii="Arial" w:hAnsi="Arial" w:cs="Arial"/>
        </w:rPr>
        <w:t xml:space="preserve"> 11-2h/i</w:t>
      </w:r>
      <w:r w:rsidRPr="0003098E">
        <w:rPr>
          <w:rFonts w:ascii="Arial" w:hAnsi="Arial" w:cs="Arial"/>
        </w:rPr>
        <w:t xml:space="preserve"> replicating FG 11-2d/e with restriction only for the non-aligned span case.</w:t>
      </w:r>
    </w:p>
    <w:p w14:paraId="1C07628A" w14:textId="2A88CEE7" w:rsidR="009F7E12" w:rsidRDefault="00184DDC" w:rsidP="002302B2">
      <w:pPr>
        <w:pStyle w:val="Proposal"/>
        <w:tabs>
          <w:tab w:val="left" w:pos="1701"/>
        </w:tabs>
        <w:overflowPunct/>
        <w:autoSpaceDE/>
        <w:autoSpaceDN/>
        <w:adjustRightInd/>
        <w:spacing w:line="259" w:lineRule="auto"/>
        <w:ind w:left="1701" w:hanging="1701"/>
        <w:textAlignment w:val="auto"/>
        <w:rPr>
          <w:lang w:eastAsia="ja-JP"/>
        </w:rPr>
      </w:pPr>
      <w:bookmarkStart w:id="11" w:name="_Toc61304233"/>
      <w:bookmarkStart w:id="12" w:name="_Toc61905349"/>
      <w:r>
        <w:rPr>
          <w:lang w:eastAsia="ja-JP"/>
        </w:rPr>
        <w:t>Confirm the working assumption to introduce new UE features, replicating FG 11-2 a/c</w:t>
      </w:r>
      <w:r w:rsidR="002302B2">
        <w:rPr>
          <w:lang w:eastAsia="ja-JP"/>
        </w:rPr>
        <w:t>/</w:t>
      </w:r>
      <w:r>
        <w:rPr>
          <w:lang w:eastAsia="ja-JP"/>
        </w:rPr>
        <w:t>d/e</w:t>
      </w:r>
      <w:r w:rsidR="002302B2">
        <w:rPr>
          <w:lang w:eastAsia="ja-JP"/>
        </w:rPr>
        <w:t xml:space="preserve"> with FG 11-2f/g/h/i</w:t>
      </w:r>
      <w:r>
        <w:rPr>
          <w:lang w:eastAsia="ja-JP"/>
        </w:rPr>
        <w:t xml:space="preserve"> with restriction </w:t>
      </w:r>
      <w:r w:rsidR="002302B2">
        <w:rPr>
          <w:lang w:eastAsia="ja-JP"/>
        </w:rPr>
        <w:t>added</w:t>
      </w:r>
      <w:r>
        <w:rPr>
          <w:lang w:eastAsia="ja-JP"/>
        </w:rPr>
        <w:t xml:space="preserve"> for the non-aligned span case.</w:t>
      </w:r>
      <w:bookmarkEnd w:id="11"/>
      <w:bookmarkEnd w:id="12"/>
    </w:p>
    <w:p w14:paraId="4EA0A124" w14:textId="625C0F8A" w:rsidR="00184DDC" w:rsidRDefault="00184DDC" w:rsidP="009F7E12">
      <w:pPr>
        <w:pStyle w:val="Heading3"/>
      </w:pPr>
      <w:r>
        <w:t>2.</w:t>
      </w:r>
      <w:r w:rsidR="00230EEB">
        <w:t>3.</w:t>
      </w:r>
      <w:r>
        <w:t>2</w:t>
      </w:r>
      <w:r>
        <w:tab/>
      </w:r>
      <w:r w:rsidRPr="00230EEB">
        <w:t>Interpretation of UE capabilities in case of cross-carrier operation</w:t>
      </w:r>
    </w:p>
    <w:p w14:paraId="0352C211" w14:textId="77777777" w:rsidR="00184DDC" w:rsidRPr="001C352B" w:rsidRDefault="00184DDC" w:rsidP="00184DDC">
      <w:pPr>
        <w:rPr>
          <w:rFonts w:ascii="Arial" w:hAnsi="Arial" w:cs="Arial"/>
        </w:rPr>
      </w:pPr>
      <w:r w:rsidRPr="001C352B">
        <w:rPr>
          <w:rFonts w:ascii="Arial" w:hAnsi="Arial" w:cs="Arial"/>
        </w:rPr>
        <w:t>In RAN1#103e, it was agreed that for FG 11-7a (</w:t>
      </w:r>
      <w:r w:rsidRPr="001C352B">
        <w:rPr>
          <w:rFonts w:ascii="Arial" w:hAnsi="Arial" w:cs="Arial"/>
          <w:lang w:eastAsia="zh-CN"/>
        </w:rPr>
        <w:t>UL cancelation scheme for cross-carrier</w:t>
      </w:r>
      <w:r w:rsidRPr="001C352B">
        <w:rPr>
          <w:rFonts w:ascii="Arial" w:hAnsi="Arial" w:cs="Arial"/>
        </w:rPr>
        <w:t>), the interpretation of UE capabilities in case of cross-carrier operation is according to Interpretation 3, i.e., based on the support of this capability for both the band of the scheduled/triggered/indicated cell and the band of the scheduling/triggering/indicating cell.</w:t>
      </w:r>
    </w:p>
    <w:p w14:paraId="18EBAD71" w14:textId="77777777" w:rsidR="00184DDC" w:rsidRPr="001C352B" w:rsidRDefault="00184DDC" w:rsidP="00184DDC">
      <w:pPr>
        <w:rPr>
          <w:rFonts w:ascii="Arial" w:hAnsi="Arial" w:cs="Arial"/>
        </w:rPr>
      </w:pPr>
      <w:r w:rsidRPr="001C352B">
        <w:rPr>
          <w:rFonts w:ascii="Arial" w:hAnsi="Arial" w:cs="Arial"/>
        </w:rPr>
        <w:t>Interpretation for several other features was discussed without reaching conclusion, including FG 11-7b/9/9a and 12-2a.</w:t>
      </w:r>
    </w:p>
    <w:p w14:paraId="2469826D" w14:textId="77777777" w:rsidR="00184DDC" w:rsidRPr="001C352B" w:rsidRDefault="00184DDC" w:rsidP="00184DDC">
      <w:pPr>
        <w:pStyle w:val="ListParagraph"/>
        <w:numPr>
          <w:ilvl w:val="0"/>
          <w:numId w:val="31"/>
        </w:numPr>
        <w:overflowPunct/>
        <w:autoSpaceDE/>
        <w:autoSpaceDN/>
        <w:adjustRightInd/>
        <w:spacing w:line="259" w:lineRule="auto"/>
        <w:textAlignment w:val="auto"/>
        <w:rPr>
          <w:rFonts w:ascii="Arial" w:hAnsi="Arial" w:cs="Arial"/>
          <w:sz w:val="20"/>
          <w:szCs w:val="20"/>
          <w:lang w:eastAsia="zh-CN"/>
        </w:rPr>
      </w:pPr>
      <w:r w:rsidRPr="001C352B">
        <w:rPr>
          <w:rFonts w:ascii="Arial" w:hAnsi="Arial" w:cs="Arial"/>
          <w:sz w:val="20"/>
          <w:szCs w:val="20"/>
          <w:lang w:eastAsia="zh-CN"/>
        </w:rPr>
        <w:t>11-7b</w:t>
      </w:r>
      <w:r w:rsidRPr="001C352B">
        <w:rPr>
          <w:rFonts w:ascii="Arial" w:hAnsi="Arial" w:cs="Arial"/>
          <w:sz w:val="20"/>
          <w:szCs w:val="20"/>
          <w:lang w:eastAsia="zh-CN"/>
        </w:rPr>
        <w:tab/>
        <w:t>Independent cancellation of the overlapping PUSCHs in an intra-band UL CA</w:t>
      </w:r>
    </w:p>
    <w:p w14:paraId="7EBD46D1" w14:textId="77777777" w:rsidR="00184DDC" w:rsidRPr="001C352B" w:rsidRDefault="00184DDC" w:rsidP="00184DDC">
      <w:pPr>
        <w:pStyle w:val="ListParagraph"/>
        <w:numPr>
          <w:ilvl w:val="0"/>
          <w:numId w:val="31"/>
        </w:numPr>
        <w:overflowPunct/>
        <w:autoSpaceDE/>
        <w:autoSpaceDN/>
        <w:adjustRightInd/>
        <w:spacing w:line="259" w:lineRule="auto"/>
        <w:textAlignment w:val="auto"/>
        <w:rPr>
          <w:rFonts w:ascii="Arial" w:hAnsi="Arial" w:cs="Arial"/>
          <w:sz w:val="20"/>
          <w:szCs w:val="20"/>
          <w:lang w:eastAsia="zh-CN"/>
        </w:rPr>
      </w:pPr>
      <w:r w:rsidRPr="001C352B">
        <w:rPr>
          <w:rFonts w:ascii="Arial" w:hAnsi="Arial" w:cs="Arial"/>
          <w:sz w:val="20"/>
          <w:szCs w:val="20"/>
          <w:lang w:eastAsia="zh-CN"/>
        </w:rPr>
        <w:t>11-9</w:t>
      </w:r>
      <w:r w:rsidRPr="001C352B">
        <w:rPr>
          <w:rFonts w:ascii="Arial" w:hAnsi="Arial" w:cs="Arial"/>
          <w:sz w:val="20"/>
          <w:szCs w:val="20"/>
          <w:lang w:eastAsia="zh-CN"/>
        </w:rPr>
        <w:tab/>
      </w:r>
      <w:r w:rsidRPr="001C352B">
        <w:rPr>
          <w:rFonts w:ascii="Arial" w:hAnsi="Arial" w:cs="Arial"/>
          <w:sz w:val="20"/>
          <w:szCs w:val="20"/>
          <w:lang w:eastAsia="zh-CN"/>
        </w:rPr>
        <w:tab/>
        <w:t>Multiple active configured grant configurations for a BWP of a serving cell</w:t>
      </w:r>
    </w:p>
    <w:p w14:paraId="3E52BB1C" w14:textId="77777777" w:rsidR="00184DDC" w:rsidRPr="001C352B" w:rsidRDefault="00184DDC" w:rsidP="00184DDC">
      <w:pPr>
        <w:pStyle w:val="ListParagraph"/>
        <w:numPr>
          <w:ilvl w:val="0"/>
          <w:numId w:val="31"/>
        </w:numPr>
        <w:overflowPunct/>
        <w:autoSpaceDE/>
        <w:autoSpaceDN/>
        <w:adjustRightInd/>
        <w:spacing w:line="259" w:lineRule="auto"/>
        <w:textAlignment w:val="auto"/>
        <w:rPr>
          <w:rFonts w:ascii="Arial" w:hAnsi="Arial" w:cs="Arial"/>
          <w:sz w:val="20"/>
          <w:szCs w:val="20"/>
          <w:lang w:eastAsia="zh-CN"/>
        </w:rPr>
      </w:pPr>
      <w:r w:rsidRPr="001C352B">
        <w:rPr>
          <w:rFonts w:ascii="Arial" w:hAnsi="Arial" w:cs="Arial"/>
          <w:sz w:val="20"/>
          <w:szCs w:val="20"/>
          <w:lang w:eastAsia="zh-CN"/>
        </w:rPr>
        <w:t>11-9a</w:t>
      </w:r>
      <w:r w:rsidRPr="001C352B">
        <w:rPr>
          <w:rFonts w:ascii="Arial" w:hAnsi="Arial" w:cs="Arial"/>
          <w:sz w:val="20"/>
          <w:szCs w:val="20"/>
          <w:lang w:eastAsia="zh-CN"/>
        </w:rPr>
        <w:tab/>
        <w:t>Joint release in a DCI for two or more configured grant Type 2 configurations for a given BWP of a serving cell</w:t>
      </w:r>
    </w:p>
    <w:p w14:paraId="06E0EC54" w14:textId="77777777" w:rsidR="00184DDC" w:rsidRPr="001C352B" w:rsidRDefault="00184DDC" w:rsidP="00184DDC">
      <w:pPr>
        <w:pStyle w:val="ListParagraph"/>
        <w:numPr>
          <w:ilvl w:val="0"/>
          <w:numId w:val="31"/>
        </w:numPr>
        <w:overflowPunct/>
        <w:autoSpaceDE/>
        <w:autoSpaceDN/>
        <w:adjustRightInd/>
        <w:spacing w:line="259" w:lineRule="auto"/>
        <w:textAlignment w:val="auto"/>
        <w:rPr>
          <w:rFonts w:ascii="Arial" w:hAnsi="Arial" w:cs="Arial"/>
          <w:sz w:val="20"/>
          <w:szCs w:val="20"/>
          <w:lang w:val="en-GB" w:eastAsia="ja-JP"/>
        </w:rPr>
      </w:pPr>
      <w:r w:rsidRPr="001C352B">
        <w:rPr>
          <w:rFonts w:ascii="Arial" w:hAnsi="Arial" w:cs="Arial"/>
          <w:sz w:val="20"/>
          <w:szCs w:val="20"/>
          <w:lang w:eastAsia="zh-CN"/>
        </w:rPr>
        <w:t>12-2a</w:t>
      </w:r>
      <w:r w:rsidRPr="001C352B">
        <w:rPr>
          <w:rFonts w:ascii="Arial" w:hAnsi="Arial" w:cs="Arial"/>
          <w:sz w:val="20"/>
          <w:szCs w:val="20"/>
          <w:lang w:eastAsia="zh-CN"/>
        </w:rPr>
        <w:tab/>
        <w:t>Joint release in a DCI for two or more SPS configurations for a given BWP of a serving cell</w:t>
      </w:r>
    </w:p>
    <w:p w14:paraId="7DD70D1B" w14:textId="77777777" w:rsidR="00184DDC" w:rsidRDefault="00184DDC" w:rsidP="00184DDC"/>
    <w:p w14:paraId="3E1EC6A9" w14:textId="77777777" w:rsidR="00184DDC" w:rsidRPr="0003098E" w:rsidRDefault="00184DDC" w:rsidP="00184DDC">
      <w:pPr>
        <w:rPr>
          <w:rFonts w:ascii="Arial" w:hAnsi="Arial" w:cs="Arial"/>
        </w:rPr>
      </w:pPr>
      <w:r w:rsidRPr="0003098E">
        <w:rPr>
          <w:rFonts w:ascii="Arial" w:hAnsi="Arial" w:cs="Arial"/>
        </w:rPr>
        <w:lastRenderedPageBreak/>
        <w:t xml:space="preserve">For these feature groups, the UE receives the DCI in the scheduling/triggering/indicating </w:t>
      </w:r>
      <w:proofErr w:type="gramStart"/>
      <w:r w:rsidRPr="0003098E">
        <w:rPr>
          <w:rFonts w:ascii="Arial" w:hAnsi="Arial" w:cs="Arial"/>
        </w:rPr>
        <w:t>cell, and</w:t>
      </w:r>
      <w:proofErr w:type="gramEnd"/>
      <w:r w:rsidRPr="0003098E">
        <w:rPr>
          <w:rFonts w:ascii="Arial" w:hAnsi="Arial" w:cs="Arial"/>
        </w:rPr>
        <w:t xml:space="preserve"> performs the described procedure in the scheduled/triggered/indicated cell. No special operations </w:t>
      </w:r>
      <w:proofErr w:type="gramStart"/>
      <w:r w:rsidRPr="0003098E">
        <w:rPr>
          <w:rFonts w:ascii="Arial" w:hAnsi="Arial" w:cs="Arial"/>
        </w:rPr>
        <w:t>is</w:t>
      </w:r>
      <w:proofErr w:type="gramEnd"/>
      <w:r w:rsidRPr="0003098E">
        <w:rPr>
          <w:rFonts w:ascii="Arial" w:hAnsi="Arial" w:cs="Arial"/>
        </w:rPr>
        <w:t xml:space="preserve"> required in the scheduling/triggering/indicating cell, and DCI is simply received as usual. Thus, for these feature groups, interpretation 1 should be applied, i.e., </w:t>
      </w:r>
    </w:p>
    <w:p w14:paraId="3DB812FE" w14:textId="77777777" w:rsidR="00184DDC" w:rsidRPr="002D3876" w:rsidRDefault="00184DDC" w:rsidP="00184DDC">
      <w:pPr>
        <w:pStyle w:val="ListParagraph"/>
        <w:numPr>
          <w:ilvl w:val="0"/>
          <w:numId w:val="32"/>
        </w:numPr>
        <w:overflowPunct/>
        <w:autoSpaceDE/>
        <w:autoSpaceDN/>
        <w:adjustRightInd/>
        <w:spacing w:line="259" w:lineRule="auto"/>
        <w:textAlignment w:val="auto"/>
        <w:rPr>
          <w:lang w:val="en-GB" w:eastAsia="ja-JP"/>
        </w:rPr>
      </w:pPr>
      <w:r>
        <w:rPr>
          <w:b/>
          <w:bCs/>
          <w:i/>
          <w:iCs/>
          <w:lang w:val="en-GB"/>
        </w:rPr>
        <w:t>Interpretation 1</w:t>
      </w:r>
      <w:r>
        <w:rPr>
          <w:i/>
          <w:iCs/>
          <w:lang w:val="en-GB"/>
        </w:rPr>
        <w:t>:</w:t>
      </w:r>
      <w:r w:rsidRPr="002D3876">
        <w:rPr>
          <w:i/>
          <w:iCs/>
          <w:lang w:val="en-GB"/>
        </w:rPr>
        <w:t xml:space="preserve"> </w:t>
      </w:r>
      <w:r w:rsidRPr="002D3876">
        <w:rPr>
          <w:i/>
          <w:iCs/>
          <w:lang w:val="en-GB" w:eastAsia="ja-JP"/>
        </w:rPr>
        <w:t>Support of this UE capability is based on the support of this capability for the band of the scheduled/triggered/indicated cell only.</w:t>
      </w:r>
    </w:p>
    <w:p w14:paraId="59BD6CB1" w14:textId="77777777" w:rsidR="00184DDC" w:rsidRPr="002D3876" w:rsidRDefault="00184DDC" w:rsidP="00184DDC">
      <w:pPr>
        <w:pStyle w:val="ListParagraph"/>
        <w:rPr>
          <w:lang w:val="en-GB" w:eastAsia="ja-JP"/>
        </w:rPr>
      </w:pPr>
    </w:p>
    <w:p w14:paraId="52FFBB02" w14:textId="77777777" w:rsidR="00184DDC" w:rsidRDefault="00184DDC" w:rsidP="00184DDC">
      <w:pPr>
        <w:pStyle w:val="Proposal"/>
        <w:tabs>
          <w:tab w:val="left" w:pos="1701"/>
        </w:tabs>
        <w:overflowPunct/>
        <w:autoSpaceDE/>
        <w:autoSpaceDN/>
        <w:adjustRightInd/>
        <w:spacing w:line="259" w:lineRule="auto"/>
        <w:ind w:left="1701" w:hanging="1701"/>
        <w:textAlignment w:val="auto"/>
      </w:pPr>
      <w:bookmarkStart w:id="13" w:name="_Toc61304234"/>
      <w:bookmarkStart w:id="14" w:name="_Toc61905350"/>
      <w:r>
        <w:rPr>
          <w:lang w:eastAsia="ja-JP"/>
        </w:rPr>
        <w:t xml:space="preserve">For FG </w:t>
      </w:r>
      <w:r w:rsidRPr="009E791E">
        <w:rPr>
          <w:lang w:eastAsia="ja-JP"/>
        </w:rPr>
        <w:t>11-7b/9/9a and 12-2</w:t>
      </w:r>
      <w:r>
        <w:rPr>
          <w:lang w:eastAsia="ja-JP"/>
        </w:rPr>
        <w:t xml:space="preserve">: </w:t>
      </w:r>
      <w:r w:rsidRPr="002D3876">
        <w:rPr>
          <w:lang w:eastAsia="ja-JP"/>
        </w:rPr>
        <w:t xml:space="preserve">the interpretation of </w:t>
      </w:r>
      <w:r>
        <w:rPr>
          <w:lang w:eastAsia="ja-JP"/>
        </w:rPr>
        <w:t xml:space="preserve">these </w:t>
      </w:r>
      <w:r w:rsidRPr="002D3876">
        <w:rPr>
          <w:lang w:eastAsia="ja-JP"/>
        </w:rPr>
        <w:t>UE capabilities in case of cross-carrier operation</w:t>
      </w:r>
      <w:r>
        <w:rPr>
          <w:lang w:eastAsia="ja-JP"/>
        </w:rPr>
        <w:t xml:space="preserve"> are</w:t>
      </w:r>
      <w:r w:rsidRPr="002D3876">
        <w:rPr>
          <w:lang w:eastAsia="ja-JP"/>
        </w:rPr>
        <w:t xml:space="preserve"> </w:t>
      </w:r>
      <w:r w:rsidRPr="00BF6B66">
        <w:rPr>
          <w:lang w:eastAsia="ja-JP"/>
        </w:rPr>
        <w:t>based on the support of this capability for the band of the scheduled/triggered/indicated cell only</w:t>
      </w:r>
      <w:r>
        <w:rPr>
          <w:lang w:eastAsia="ja-JP"/>
        </w:rPr>
        <w:t>.</w:t>
      </w:r>
      <w:bookmarkEnd w:id="13"/>
      <w:bookmarkEnd w:id="14"/>
    </w:p>
    <w:p w14:paraId="159DEF4E" w14:textId="2442D03C" w:rsidR="000B45B6" w:rsidRDefault="00D53056" w:rsidP="000B45B6">
      <w:pPr>
        <w:pStyle w:val="Heading2"/>
        <w:rPr>
          <w:lang w:val="en-US"/>
        </w:rPr>
      </w:pPr>
      <w:bookmarkStart w:id="15" w:name="_Toc47741932"/>
      <w:r>
        <w:rPr>
          <w:lang w:val="en-US"/>
        </w:rPr>
        <w:t>2.4</w:t>
      </w:r>
      <w:r>
        <w:rPr>
          <w:lang w:val="en-US"/>
        </w:rPr>
        <w:tab/>
      </w:r>
      <w:proofErr w:type="spellStart"/>
      <w:r w:rsidR="000B45B6" w:rsidRPr="0006270D">
        <w:rPr>
          <w:lang w:val="en-US"/>
        </w:rPr>
        <w:t>II</w:t>
      </w:r>
      <w:r w:rsidR="002C325F">
        <w:rPr>
          <w:lang w:val="en-US"/>
        </w:rPr>
        <w:t>o</w:t>
      </w:r>
      <w:r w:rsidR="000B45B6" w:rsidRPr="0006270D">
        <w:rPr>
          <w:lang w:val="en-US"/>
        </w:rPr>
        <w:t>T</w:t>
      </w:r>
      <w:bookmarkEnd w:id="15"/>
      <w:proofErr w:type="spellEnd"/>
    </w:p>
    <w:p w14:paraId="11568C15" w14:textId="0B955478" w:rsidR="00184DDC" w:rsidRDefault="00184DDC" w:rsidP="00230EEB">
      <w:pPr>
        <w:pStyle w:val="Heading3"/>
      </w:pPr>
      <w:r>
        <w:t>2.</w:t>
      </w:r>
      <w:r w:rsidR="00230EEB">
        <w:t>4.1</w:t>
      </w:r>
      <w:r>
        <w:tab/>
      </w:r>
      <w:r w:rsidRPr="00540024">
        <w:rPr>
          <w:rFonts w:eastAsia="Batang"/>
          <w:lang w:val="en-US" w:eastAsia="ko-KR"/>
        </w:rPr>
        <w:t xml:space="preserve">Relationship between FG12-1 and the feature of up to two HARQ-ACK codebooks </w:t>
      </w:r>
      <w:r>
        <w:rPr>
          <w:rFonts w:eastAsia="Batang"/>
          <w:lang w:val="en-US" w:eastAsia="ko-KR"/>
        </w:rPr>
        <w:t>in</w:t>
      </w:r>
      <w:r w:rsidRPr="00540024">
        <w:rPr>
          <w:rFonts w:eastAsia="Batang"/>
          <w:lang w:val="en-US" w:eastAsia="ko-KR"/>
        </w:rPr>
        <w:t xml:space="preserve"> 11-4 and 11-4</w:t>
      </w:r>
      <w:r>
        <w:rPr>
          <w:rFonts w:eastAsia="Batang"/>
          <w:lang w:val="en-US" w:eastAsia="ko-KR"/>
        </w:rPr>
        <w:t>a</w:t>
      </w:r>
    </w:p>
    <w:p w14:paraId="4048C643" w14:textId="30D358EC" w:rsidR="00184DDC" w:rsidRPr="0003098E" w:rsidRDefault="00184DDC" w:rsidP="00184DDC">
      <w:pPr>
        <w:rPr>
          <w:rFonts w:ascii="Arial" w:hAnsi="Arial" w:cs="Arial"/>
        </w:rPr>
      </w:pPr>
      <w:r w:rsidRPr="0003098E">
        <w:rPr>
          <w:rFonts w:ascii="Arial" w:hAnsi="Arial" w:cs="Arial"/>
        </w:rPr>
        <w:t xml:space="preserve">For the support </w:t>
      </w:r>
      <w:r w:rsidR="003728DF">
        <w:rPr>
          <w:rFonts w:ascii="Arial" w:hAnsi="Arial" w:cs="Arial"/>
        </w:rPr>
        <w:t xml:space="preserve">of </w:t>
      </w:r>
      <w:r w:rsidRPr="0003098E">
        <w:rPr>
          <w:rFonts w:ascii="Arial" w:hAnsi="Arial" w:cs="Arial"/>
        </w:rPr>
        <w:t>intra-UE multiplexing/prioritization of overlapping</w:t>
      </w:r>
      <w:r w:rsidR="003728DF">
        <w:rPr>
          <w:rFonts w:ascii="Arial" w:hAnsi="Arial" w:cs="Arial"/>
        </w:rPr>
        <w:t xml:space="preserve"> UL signals/channels</w:t>
      </w:r>
      <w:r w:rsidRPr="0003098E">
        <w:rPr>
          <w:rFonts w:ascii="Arial" w:hAnsi="Arial" w:cs="Arial"/>
        </w:rPr>
        <w:t xml:space="preserve">, a question was raised that this is described fully in FG 12-1, </w:t>
      </w:r>
      <w:proofErr w:type="gramStart"/>
      <w:r w:rsidRPr="0003098E">
        <w:rPr>
          <w:rFonts w:ascii="Arial" w:hAnsi="Arial" w:cs="Arial"/>
        </w:rPr>
        <w:t>and also</w:t>
      </w:r>
      <w:proofErr w:type="gramEnd"/>
      <w:r w:rsidRPr="0003098E">
        <w:rPr>
          <w:rFonts w:ascii="Arial" w:hAnsi="Arial" w:cs="Arial"/>
        </w:rPr>
        <w:t xml:space="preserve"> mentioned in component 7 of 11-4 for HARQ-ACK.  However, FG 11-4 component 7 does not contain necessary components for multiplexing/prioritization (e.g., </w:t>
      </w:r>
      <w:r w:rsidR="003728DF">
        <w:rPr>
          <w:rFonts w:ascii="Arial" w:hAnsi="Arial" w:cs="Arial"/>
        </w:rPr>
        <w:t>a</w:t>
      </w:r>
      <w:r w:rsidRPr="0003098E">
        <w:rPr>
          <w:rFonts w:ascii="Arial" w:hAnsi="Arial" w:cs="Arial"/>
        </w:rPr>
        <w:t>dditional number of symbols d1, d2</w:t>
      </w:r>
      <w:r w:rsidR="003728DF">
        <w:rPr>
          <w:rFonts w:ascii="Arial" w:hAnsi="Arial" w:cs="Arial"/>
        </w:rPr>
        <w:t xml:space="preserve"> as described in component 4) and 5) of FG 12-1</w:t>
      </w:r>
      <w:r w:rsidRPr="0003098E">
        <w:rPr>
          <w:rFonts w:ascii="Arial" w:hAnsi="Arial" w:cs="Arial"/>
        </w:rPr>
        <w:t>).</w:t>
      </w:r>
      <w:r w:rsidRPr="0003098E">
        <w:rPr>
          <w:rFonts w:ascii="Arial" w:eastAsia="SimSun" w:hAnsi="Arial" w:cs="Arial"/>
          <w:sz w:val="18"/>
          <w:szCs w:val="18"/>
        </w:rPr>
        <w:t xml:space="preserve"> </w:t>
      </w:r>
      <w:r w:rsidRPr="0003098E">
        <w:rPr>
          <w:rFonts w:ascii="Arial" w:hAnsi="Arial" w:cs="Arial"/>
        </w:rPr>
        <w:t xml:space="preserve"> Thus, clarification is needed to sort out intra-UE multiplexing/prioritization among FG 12-1, 11-4, 11-4a.</w:t>
      </w:r>
    </w:p>
    <w:p w14:paraId="42EAE0DD" w14:textId="5356D859" w:rsidR="00184DDC" w:rsidRPr="0003098E" w:rsidRDefault="00184DDC" w:rsidP="00184DDC">
      <w:pPr>
        <w:rPr>
          <w:rFonts w:ascii="Arial" w:hAnsi="Arial" w:cs="Arial"/>
        </w:rPr>
      </w:pPr>
      <w:r w:rsidRPr="0003098E">
        <w:rPr>
          <w:rFonts w:ascii="Arial" w:hAnsi="Arial" w:cs="Arial"/>
        </w:rPr>
        <w:t>It is noted that 11-4 component 7 does not exist in 11-4a</w:t>
      </w:r>
      <w:r w:rsidR="003728DF">
        <w:rPr>
          <w:rFonts w:ascii="Arial" w:hAnsi="Arial" w:cs="Arial"/>
        </w:rPr>
        <w:t>, although 11-4 and 11-4a are parallel features on HARQ-ACK codebooks</w:t>
      </w:r>
      <w:r w:rsidRPr="0003098E">
        <w:rPr>
          <w:rFonts w:ascii="Arial" w:hAnsi="Arial" w:cs="Arial"/>
        </w:rPr>
        <w:t xml:space="preserve">. </w:t>
      </w:r>
      <w:proofErr w:type="gramStart"/>
      <w:r w:rsidRPr="0003098E">
        <w:rPr>
          <w:rFonts w:ascii="Arial" w:hAnsi="Arial" w:cs="Arial"/>
        </w:rPr>
        <w:t>Thus</w:t>
      </w:r>
      <w:proofErr w:type="gramEnd"/>
      <w:r w:rsidRPr="0003098E">
        <w:rPr>
          <w:rFonts w:ascii="Arial" w:hAnsi="Arial" w:cs="Arial"/>
        </w:rPr>
        <w:t xml:space="preserve"> it is better that 11-4 component 7 is deleted to align with 11-4a. Then the intra-UE multiplexing/prioritization of UL channels/signals is handled by 12-1 only, including the case involving two HARQ-ACK codebooks with two priority levels (related to 11-4, 11-4a).</w:t>
      </w:r>
    </w:p>
    <w:p w14:paraId="47C16709" w14:textId="3308F474" w:rsidR="00184DDC" w:rsidRPr="0003098E" w:rsidRDefault="00184DDC" w:rsidP="00184DDC">
      <w:pPr>
        <w:rPr>
          <w:rFonts w:ascii="Arial" w:hAnsi="Arial" w:cs="Arial"/>
        </w:rPr>
      </w:pPr>
      <w:r w:rsidRPr="0003098E">
        <w:rPr>
          <w:rFonts w:ascii="Arial" w:hAnsi="Arial" w:cs="Arial"/>
        </w:rPr>
        <w:t>In summary the following is proposed</w:t>
      </w:r>
      <w:r w:rsidR="003728DF">
        <w:rPr>
          <w:rFonts w:ascii="Arial" w:hAnsi="Arial" w:cs="Arial"/>
        </w:rPr>
        <w:t xml:space="preserve"> to sort out the support of </w:t>
      </w:r>
      <w:r w:rsidR="003728DF" w:rsidRPr="0003098E">
        <w:rPr>
          <w:rFonts w:ascii="Arial" w:hAnsi="Arial" w:cs="Arial"/>
        </w:rPr>
        <w:t>intra-UE multiplexing/prioritization</w:t>
      </w:r>
      <w:r w:rsidRPr="0003098E">
        <w:rPr>
          <w:rFonts w:ascii="Arial" w:hAnsi="Arial" w:cs="Arial"/>
        </w:rPr>
        <w:t>:</w:t>
      </w:r>
    </w:p>
    <w:p w14:paraId="619A9B8F" w14:textId="3277735B" w:rsidR="00184DDC" w:rsidRPr="00F6350E" w:rsidRDefault="00184DDC" w:rsidP="00184DDC">
      <w:pPr>
        <w:pStyle w:val="Proposal"/>
        <w:tabs>
          <w:tab w:val="left" w:pos="1701"/>
        </w:tabs>
        <w:overflowPunct/>
        <w:autoSpaceDE/>
        <w:autoSpaceDN/>
        <w:adjustRightInd/>
        <w:spacing w:line="259" w:lineRule="auto"/>
        <w:ind w:left="1701" w:hanging="1701"/>
        <w:textAlignment w:val="auto"/>
      </w:pPr>
      <w:bookmarkStart w:id="16" w:name="_Toc61304235"/>
      <w:bookmarkStart w:id="17" w:name="_Toc61905351"/>
      <w:bookmarkStart w:id="18" w:name="_GoBack"/>
      <w:r w:rsidRPr="00F6350E">
        <w:t xml:space="preserve">Resolve the relationship between FG 12-1 and 11-4/4a with the following: (a) Add one new FG, which mirrors </w:t>
      </w:r>
      <w:r w:rsidRPr="00F6350E">
        <w:rPr>
          <w:rFonts w:hint="eastAsia"/>
        </w:rPr>
        <w:t>F</w:t>
      </w:r>
      <w:r w:rsidRPr="00F6350E">
        <w:t xml:space="preserve">G11-4 but with component 7 removed; (b) </w:t>
      </w:r>
      <w:r w:rsidRPr="00F6350E">
        <w:rPr>
          <w:rFonts w:hint="eastAsia"/>
        </w:rPr>
        <w:t>F</w:t>
      </w:r>
      <w:r w:rsidRPr="00F6350E">
        <w:t>G12-1 is understood to cover all cancellation scenarios, including the case</w:t>
      </w:r>
      <w:r w:rsidR="003728DF" w:rsidRPr="00F6350E">
        <w:t>s</w:t>
      </w:r>
      <w:r w:rsidRPr="00F6350E">
        <w:t xml:space="preserve"> involving two HARQ-ACK codebooks with two priority levels</w:t>
      </w:r>
      <w:r w:rsidR="003728DF" w:rsidRPr="00F6350E">
        <w:t xml:space="preserve"> (see FG 11-4/4a)</w:t>
      </w:r>
      <w:r w:rsidRPr="00F6350E">
        <w:t xml:space="preserve">; (c) </w:t>
      </w:r>
      <w:r w:rsidRPr="00F6350E">
        <w:rPr>
          <w:rFonts w:hint="eastAsia"/>
        </w:rPr>
        <w:t>A</w:t>
      </w:r>
      <w:r w:rsidRPr="00F6350E">
        <w:t>sk RAN2 to disable the existing FG11-4 (e.g., by setting dummy bit).</w:t>
      </w:r>
      <w:bookmarkEnd w:id="16"/>
      <w:bookmarkEnd w:id="17"/>
    </w:p>
    <w:bookmarkEnd w:id="18"/>
    <w:p w14:paraId="7C7F4C93" w14:textId="77777777" w:rsidR="00184DDC" w:rsidRPr="003F6F67" w:rsidRDefault="00184DDC" w:rsidP="00184DDC">
      <w:pPr>
        <w:rPr>
          <w:lang w:val="x-non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720"/>
        <w:gridCol w:w="2790"/>
        <w:gridCol w:w="4860"/>
      </w:tblGrid>
      <w:tr w:rsidR="00184DDC" w:rsidRPr="0003098E" w14:paraId="535DC828" w14:textId="77777777" w:rsidTr="00443EDF">
        <w:trPr>
          <w:trHeight w:val="20"/>
        </w:trPr>
        <w:tc>
          <w:tcPr>
            <w:tcW w:w="1345" w:type="dxa"/>
            <w:tcBorders>
              <w:top w:val="single" w:sz="4" w:space="0" w:color="auto"/>
              <w:left w:val="single" w:sz="4" w:space="0" w:color="auto"/>
              <w:bottom w:val="single" w:sz="4" w:space="0" w:color="auto"/>
              <w:right w:val="single" w:sz="4" w:space="0" w:color="auto"/>
            </w:tcBorders>
          </w:tcPr>
          <w:p w14:paraId="3AA98B42" w14:textId="77777777" w:rsidR="00184DDC" w:rsidRPr="0003098E" w:rsidRDefault="00184DDC" w:rsidP="00443EDF">
            <w:pPr>
              <w:spacing w:line="256" w:lineRule="auto"/>
              <w:rPr>
                <w:rFonts w:eastAsia="SimSun"/>
                <w:sz w:val="18"/>
                <w:szCs w:val="18"/>
              </w:rPr>
            </w:pPr>
            <w:bookmarkStart w:id="19" w:name="_Toc47741933"/>
            <w:r w:rsidRPr="0003098E">
              <w:rPr>
                <w:rFonts w:eastAsia="SimSun"/>
                <w:sz w:val="18"/>
                <w:szCs w:val="18"/>
              </w:rPr>
              <w:t xml:space="preserve">11. </w:t>
            </w:r>
          </w:p>
          <w:p w14:paraId="15502418" w14:textId="77777777" w:rsidR="00184DDC" w:rsidRPr="0003098E" w:rsidRDefault="00184DDC" w:rsidP="00443EDF">
            <w:pPr>
              <w:spacing w:line="256" w:lineRule="auto"/>
              <w:rPr>
                <w:rFonts w:eastAsia="SimSun"/>
                <w:sz w:val="18"/>
                <w:szCs w:val="18"/>
              </w:rPr>
            </w:pPr>
            <w:r w:rsidRPr="0003098E">
              <w:rPr>
                <w:rFonts w:eastAsia="SimSun"/>
                <w:sz w:val="18"/>
                <w:szCs w:val="18"/>
              </w:rPr>
              <w:t>NR_L1enh_URLLC</w:t>
            </w:r>
          </w:p>
        </w:tc>
        <w:tc>
          <w:tcPr>
            <w:tcW w:w="720" w:type="dxa"/>
            <w:tcBorders>
              <w:top w:val="single" w:sz="4" w:space="0" w:color="auto"/>
              <w:left w:val="single" w:sz="4" w:space="0" w:color="auto"/>
              <w:bottom w:val="single" w:sz="4" w:space="0" w:color="auto"/>
              <w:right w:val="single" w:sz="4" w:space="0" w:color="auto"/>
            </w:tcBorders>
          </w:tcPr>
          <w:p w14:paraId="3E855A47" w14:textId="77777777" w:rsidR="00184DDC" w:rsidRPr="0003098E" w:rsidRDefault="00184DDC" w:rsidP="00443EDF">
            <w:pPr>
              <w:rPr>
                <w:rFonts w:eastAsia="SimSun"/>
                <w:sz w:val="18"/>
                <w:szCs w:val="18"/>
              </w:rPr>
            </w:pPr>
            <w:r w:rsidRPr="0003098E">
              <w:rPr>
                <w:rFonts w:eastAsia="SimSun"/>
                <w:sz w:val="18"/>
                <w:szCs w:val="18"/>
              </w:rPr>
              <w:t>11-4</w:t>
            </w:r>
          </w:p>
        </w:tc>
        <w:tc>
          <w:tcPr>
            <w:tcW w:w="2790" w:type="dxa"/>
            <w:tcBorders>
              <w:top w:val="single" w:sz="4" w:space="0" w:color="auto"/>
              <w:left w:val="single" w:sz="4" w:space="0" w:color="auto"/>
              <w:bottom w:val="single" w:sz="4" w:space="0" w:color="auto"/>
              <w:right w:val="single" w:sz="4" w:space="0" w:color="auto"/>
            </w:tcBorders>
          </w:tcPr>
          <w:p w14:paraId="1CE51A0E" w14:textId="77777777" w:rsidR="00184DDC" w:rsidRPr="0003098E" w:rsidRDefault="00184DDC" w:rsidP="00443EDF">
            <w:pPr>
              <w:rPr>
                <w:rFonts w:eastAsia="SimSun"/>
                <w:sz w:val="18"/>
                <w:szCs w:val="18"/>
              </w:rPr>
            </w:pPr>
            <w:r w:rsidRPr="0003098E">
              <w:rPr>
                <w:rFonts w:eastAsia="SimSun"/>
                <w:sz w:val="18"/>
                <w:szCs w:val="18"/>
              </w:rPr>
              <w:t xml:space="preserve">Two HARQ-ACK codebooks with up to one sub-slot based HARQ-ACK codebook (i.e. slot-based + slot-based, or slot-based + sub-slot based) simultaneously constructed for </w:t>
            </w:r>
            <w:proofErr w:type="gramStart"/>
            <w:r w:rsidRPr="0003098E">
              <w:rPr>
                <w:rFonts w:eastAsia="SimSun"/>
                <w:sz w:val="18"/>
                <w:szCs w:val="18"/>
              </w:rPr>
              <w:t>supporting  HARQ</w:t>
            </w:r>
            <w:proofErr w:type="gramEnd"/>
            <w:r w:rsidRPr="0003098E">
              <w:rPr>
                <w:rFonts w:eastAsia="SimSun"/>
                <w:sz w:val="18"/>
                <w:szCs w:val="18"/>
              </w:rPr>
              <w:t xml:space="preserve">-ACK codebooks with different priorities at a UE </w:t>
            </w:r>
          </w:p>
        </w:tc>
        <w:tc>
          <w:tcPr>
            <w:tcW w:w="4860" w:type="dxa"/>
            <w:tcBorders>
              <w:top w:val="single" w:sz="4" w:space="0" w:color="auto"/>
              <w:left w:val="single" w:sz="4" w:space="0" w:color="auto"/>
              <w:bottom w:val="single" w:sz="4" w:space="0" w:color="auto"/>
              <w:right w:val="single" w:sz="4" w:space="0" w:color="auto"/>
            </w:tcBorders>
          </w:tcPr>
          <w:p w14:paraId="1C2550C6"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Supports two HARQ-ACK codebooks with different priorities to be simultaneously constructed with the restriction up to one sub-slot based HARQ-ACK codebook.</w:t>
            </w:r>
          </w:p>
          <w:p w14:paraId="5E986C8E"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Supports separate PUCCH configuration for different HARQ-ACK codebooks</w:t>
            </w:r>
          </w:p>
          <w:p w14:paraId="18897F5F"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Supports 2-level priority of HARQ-ACK for dynamically scheduled PDSCH and SPS PDSCH.</w:t>
            </w:r>
          </w:p>
          <w:p w14:paraId="6DE815AF"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Supports a DCI format (from the formats 1_1/1_2) scheduling PDSCH with different HARQ-ACK priorities when only DCI format 0_1/1_1 is configured or only DCI format 0_2/1_2 is configured per BWP</w:t>
            </w:r>
          </w:p>
          <w:p w14:paraId="7B94C0EC"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Supports separate configuration of parameters PDSCH-HARQ-ACK-Codebook, UCI-</w:t>
            </w:r>
            <w:proofErr w:type="spellStart"/>
            <w:r w:rsidRPr="0003098E">
              <w:rPr>
                <w:rFonts w:ascii="Times New Roman" w:eastAsia="SimSun" w:hAnsi="Times New Roman"/>
                <w:szCs w:val="18"/>
                <w:lang w:val="en-GB" w:eastAsia="en-US"/>
              </w:rPr>
              <w:t>OnPUSCH</w:t>
            </w:r>
            <w:proofErr w:type="spellEnd"/>
            <w:r w:rsidRPr="0003098E">
              <w:rPr>
                <w:rFonts w:ascii="Times New Roman" w:eastAsia="SimSun" w:hAnsi="Times New Roman"/>
                <w:szCs w:val="18"/>
                <w:lang w:val="en-GB" w:eastAsia="en-US"/>
              </w:rPr>
              <w:t xml:space="preserve"> and ‘</w:t>
            </w:r>
            <w:proofErr w:type="spellStart"/>
            <w:r w:rsidRPr="0003098E">
              <w:rPr>
                <w:rFonts w:ascii="Times New Roman" w:eastAsia="SimSun" w:hAnsi="Times New Roman"/>
                <w:szCs w:val="18"/>
                <w:lang w:val="en-GB" w:eastAsia="en-US"/>
              </w:rPr>
              <w:t>codeBlockGroupTransmission</w:t>
            </w:r>
            <w:proofErr w:type="spellEnd"/>
            <w:r w:rsidRPr="0003098E">
              <w:rPr>
                <w:rFonts w:ascii="Times New Roman" w:eastAsia="SimSun" w:hAnsi="Times New Roman"/>
                <w:szCs w:val="18"/>
                <w:lang w:val="en-GB" w:eastAsia="en-US"/>
              </w:rPr>
              <w:t xml:space="preserve">” for different HARQ-ACK codebooks.   </w:t>
            </w:r>
          </w:p>
          <w:p w14:paraId="14BA22BC"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szCs w:val="18"/>
                <w:lang w:val="en-GB" w:eastAsia="en-US"/>
              </w:rPr>
              <w:t>Supported maximum number of actual PUCCH transmissions for HARQ-ACK within a slot</w:t>
            </w:r>
          </w:p>
          <w:p w14:paraId="43D349A8" w14:textId="77777777" w:rsidR="00184DDC" w:rsidRPr="0003098E" w:rsidRDefault="00184DDC" w:rsidP="00443EDF">
            <w:pPr>
              <w:ind w:left="360"/>
              <w:rPr>
                <w:rFonts w:eastAsia="SimSun"/>
                <w:sz w:val="18"/>
                <w:szCs w:val="18"/>
              </w:rPr>
            </w:pPr>
            <w:r w:rsidRPr="0003098E">
              <w:rPr>
                <w:rFonts w:eastAsia="SimSun"/>
                <w:sz w:val="18"/>
                <w:szCs w:val="18"/>
              </w:rPr>
              <w:t>Candidate values for the component 6 of FG11-4 is: For NCP, {4, 5, 6, 7} for 2-symbol*7 sub-slot configuration; For ECP, the candidate value is {4,5,6} for 2-symbol*6 sub-slot configuration.</w:t>
            </w:r>
          </w:p>
          <w:p w14:paraId="1BBD9730"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eastAsia="SimSun" w:hAnsi="Times New Roman"/>
                <w:color w:val="FF0000"/>
                <w:szCs w:val="18"/>
                <w:lang w:val="en-GB" w:eastAsia="en-US"/>
              </w:rPr>
              <w:lastRenderedPageBreak/>
              <w:t>Support intra-UE multiplexing/prioritization of UL overlapping channels/signals with two priority levels for HARQ-ACK</w:t>
            </w:r>
          </w:p>
        </w:tc>
      </w:tr>
      <w:tr w:rsidR="00184DDC" w:rsidRPr="0003098E" w14:paraId="3C59DE31" w14:textId="77777777" w:rsidTr="00443EDF">
        <w:trPr>
          <w:trHeight w:val="20"/>
        </w:trPr>
        <w:tc>
          <w:tcPr>
            <w:tcW w:w="1345" w:type="dxa"/>
            <w:tcBorders>
              <w:top w:val="single" w:sz="4" w:space="0" w:color="auto"/>
              <w:left w:val="single" w:sz="4" w:space="0" w:color="auto"/>
              <w:bottom w:val="single" w:sz="4" w:space="0" w:color="auto"/>
              <w:right w:val="single" w:sz="4" w:space="0" w:color="auto"/>
            </w:tcBorders>
          </w:tcPr>
          <w:p w14:paraId="4FD47774" w14:textId="77777777" w:rsidR="00184DDC" w:rsidRPr="0003098E" w:rsidRDefault="00184DDC" w:rsidP="00443EDF">
            <w:pPr>
              <w:pStyle w:val="TAL"/>
              <w:rPr>
                <w:rFonts w:ascii="Times New Roman" w:hAnsi="Times New Roman"/>
                <w:szCs w:val="18"/>
                <w:lang w:eastAsia="ja-JP"/>
              </w:rPr>
            </w:pPr>
            <w:r w:rsidRPr="0003098E">
              <w:rPr>
                <w:rFonts w:ascii="Times New Roman" w:hAnsi="Times New Roman"/>
                <w:szCs w:val="18"/>
                <w:lang w:eastAsia="ja-JP"/>
              </w:rPr>
              <w:lastRenderedPageBreak/>
              <w:t xml:space="preserve">11. </w:t>
            </w:r>
          </w:p>
          <w:p w14:paraId="24F77D93" w14:textId="77777777" w:rsidR="00184DDC" w:rsidRPr="0003098E" w:rsidRDefault="00184DDC" w:rsidP="00443EDF">
            <w:pPr>
              <w:spacing w:line="256" w:lineRule="auto"/>
              <w:rPr>
                <w:rFonts w:eastAsia="SimSun"/>
                <w:sz w:val="18"/>
                <w:szCs w:val="18"/>
              </w:rPr>
            </w:pPr>
            <w:r w:rsidRPr="0003098E">
              <w:rPr>
                <w:sz w:val="18"/>
                <w:szCs w:val="18"/>
              </w:rPr>
              <w:t>NR_L1enh_URLLC</w:t>
            </w:r>
          </w:p>
        </w:tc>
        <w:tc>
          <w:tcPr>
            <w:tcW w:w="720" w:type="dxa"/>
            <w:tcBorders>
              <w:top w:val="single" w:sz="4" w:space="0" w:color="auto"/>
              <w:left w:val="single" w:sz="4" w:space="0" w:color="auto"/>
              <w:bottom w:val="single" w:sz="4" w:space="0" w:color="auto"/>
              <w:right w:val="single" w:sz="4" w:space="0" w:color="auto"/>
            </w:tcBorders>
          </w:tcPr>
          <w:p w14:paraId="4599417A" w14:textId="77777777" w:rsidR="00184DDC" w:rsidRPr="0003098E" w:rsidRDefault="00184DDC" w:rsidP="00443EDF">
            <w:pPr>
              <w:pStyle w:val="TAL"/>
              <w:rPr>
                <w:rFonts w:ascii="Times New Roman" w:eastAsia="SimSun" w:hAnsi="Times New Roman"/>
                <w:szCs w:val="18"/>
                <w:lang w:eastAsia="zh-CN"/>
              </w:rPr>
            </w:pPr>
            <w:r w:rsidRPr="0003098E">
              <w:rPr>
                <w:rFonts w:ascii="Times New Roman" w:eastAsia="SimSun" w:hAnsi="Times New Roman"/>
                <w:szCs w:val="18"/>
                <w:lang w:eastAsia="zh-CN"/>
              </w:rPr>
              <w:t>11-4a</w:t>
            </w:r>
          </w:p>
          <w:p w14:paraId="2371AD54" w14:textId="77777777" w:rsidR="00184DDC" w:rsidRPr="0003098E" w:rsidRDefault="00184DDC" w:rsidP="00443EDF">
            <w:pPr>
              <w:pStyle w:val="TAL"/>
              <w:rPr>
                <w:rFonts w:ascii="Times New Roman" w:eastAsia="SimSun" w:hAnsi="Times New Roman"/>
                <w:szCs w:val="18"/>
                <w:lang w:eastAsia="zh-CN"/>
              </w:rPr>
            </w:pPr>
          </w:p>
          <w:p w14:paraId="5B133858" w14:textId="77777777" w:rsidR="00184DDC" w:rsidRPr="0003098E" w:rsidRDefault="00184DDC" w:rsidP="00443EDF">
            <w:pPr>
              <w:rPr>
                <w:rFonts w:eastAsia="SimSun"/>
                <w:sz w:val="18"/>
                <w:szCs w:val="18"/>
              </w:rPr>
            </w:pPr>
          </w:p>
        </w:tc>
        <w:tc>
          <w:tcPr>
            <w:tcW w:w="2790" w:type="dxa"/>
            <w:tcBorders>
              <w:top w:val="single" w:sz="4" w:space="0" w:color="auto"/>
              <w:left w:val="single" w:sz="4" w:space="0" w:color="auto"/>
              <w:bottom w:val="single" w:sz="4" w:space="0" w:color="auto"/>
              <w:right w:val="single" w:sz="4" w:space="0" w:color="auto"/>
            </w:tcBorders>
          </w:tcPr>
          <w:p w14:paraId="0B657717" w14:textId="77777777" w:rsidR="00184DDC" w:rsidRPr="0003098E" w:rsidRDefault="00184DDC" w:rsidP="00443EDF">
            <w:pPr>
              <w:rPr>
                <w:rFonts w:eastAsia="SimSun"/>
                <w:sz w:val="18"/>
                <w:szCs w:val="18"/>
              </w:rPr>
            </w:pPr>
            <w:r w:rsidRPr="0003098E">
              <w:rPr>
                <w:rFonts w:eastAsia="SimSun"/>
                <w:sz w:val="18"/>
                <w:szCs w:val="18"/>
                <w:lang w:eastAsia="zh-CN"/>
              </w:rPr>
              <w:t xml:space="preserve">Two subslot based HARQ-ACK codebooks simultaneously constructed for supporting HARQ-ACK codebooks with different priorities at a UE </w:t>
            </w:r>
          </w:p>
        </w:tc>
        <w:tc>
          <w:tcPr>
            <w:tcW w:w="4860" w:type="dxa"/>
            <w:tcBorders>
              <w:top w:val="single" w:sz="4" w:space="0" w:color="auto"/>
              <w:left w:val="single" w:sz="4" w:space="0" w:color="auto"/>
              <w:bottom w:val="single" w:sz="4" w:space="0" w:color="auto"/>
              <w:right w:val="single" w:sz="4" w:space="0" w:color="auto"/>
            </w:tcBorders>
          </w:tcPr>
          <w:p w14:paraId="4E966F24"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Supports two subslot based HARQ-ACK codebooks with different priorities to be simultaneously constructed.</w:t>
            </w:r>
          </w:p>
          <w:p w14:paraId="7C32A459"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Supports separate PUCCH configuration for different HARQ-ACK codebooks</w:t>
            </w:r>
          </w:p>
          <w:p w14:paraId="3DD7D63B"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Supports 2-level priority of HARQ-ACK for dynamically scheduled PDSCH and SPS PDSCH.</w:t>
            </w:r>
          </w:p>
          <w:p w14:paraId="1C425E7E"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 xml:space="preserve">Supports a DCI format (from the formats /1_1/1_2) scheduling PDSCH with different HARQ-ACK priorities  when only DCI format 0_1/1_1 is configured or only DCI format 0_2/1_2 is configured in USS per BWP </w:t>
            </w:r>
          </w:p>
          <w:p w14:paraId="392FBF12"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Supports separate configuration of parameters PDSCH-HARQ-ACK-Codebook, UCI-</w:t>
            </w:r>
            <w:proofErr w:type="spellStart"/>
            <w:r w:rsidRPr="0003098E">
              <w:rPr>
                <w:rFonts w:ascii="Times New Roman" w:hAnsi="Times New Roman"/>
                <w:szCs w:val="18"/>
                <w:lang w:eastAsia="ja-JP"/>
              </w:rPr>
              <w:t>OnPUSCH</w:t>
            </w:r>
            <w:proofErr w:type="spellEnd"/>
            <w:r w:rsidRPr="0003098E">
              <w:rPr>
                <w:rFonts w:ascii="Times New Roman" w:hAnsi="Times New Roman"/>
                <w:szCs w:val="18"/>
                <w:lang w:eastAsia="ja-JP"/>
              </w:rPr>
              <w:t xml:space="preserve"> and ‘</w:t>
            </w:r>
            <w:proofErr w:type="spellStart"/>
            <w:r w:rsidRPr="0003098E">
              <w:rPr>
                <w:rFonts w:ascii="Times New Roman" w:hAnsi="Times New Roman"/>
                <w:szCs w:val="18"/>
                <w:lang w:eastAsia="ja-JP"/>
              </w:rPr>
              <w:t>codeBlockGroupTransmission</w:t>
            </w:r>
            <w:proofErr w:type="spellEnd"/>
            <w:r w:rsidRPr="0003098E">
              <w:rPr>
                <w:rFonts w:ascii="Times New Roman" w:hAnsi="Times New Roman"/>
                <w:szCs w:val="18"/>
                <w:lang w:eastAsia="ja-JP"/>
              </w:rPr>
              <w:t>” for different HARQ-ACK codebooks.</w:t>
            </w:r>
          </w:p>
          <w:p w14:paraId="77C1F153" w14:textId="77777777" w:rsidR="00184DDC" w:rsidRPr="0003098E" w:rsidRDefault="00184DDC" w:rsidP="00184DDC">
            <w:pPr>
              <w:pStyle w:val="TAL"/>
              <w:numPr>
                <w:ilvl w:val="0"/>
                <w:numId w:val="35"/>
              </w:numPr>
              <w:overflowPunct/>
              <w:autoSpaceDE/>
              <w:autoSpaceDN/>
              <w:adjustRightInd/>
              <w:spacing w:line="256" w:lineRule="auto"/>
              <w:textAlignment w:val="auto"/>
              <w:rPr>
                <w:rFonts w:ascii="Times New Roman" w:hAnsi="Times New Roman"/>
                <w:szCs w:val="18"/>
                <w:lang w:eastAsia="ja-JP"/>
              </w:rPr>
            </w:pPr>
            <w:r w:rsidRPr="0003098E">
              <w:rPr>
                <w:rFonts w:ascii="Times New Roman" w:hAnsi="Times New Roman"/>
                <w:szCs w:val="18"/>
                <w:lang w:eastAsia="ja-JP"/>
              </w:rPr>
              <w:t>Supported maximum number of actual PUCCH transmissions for HARQ-ACK within a slot</w:t>
            </w:r>
          </w:p>
          <w:p w14:paraId="6653EA8C" w14:textId="77777777" w:rsidR="00184DDC" w:rsidRPr="0003098E" w:rsidRDefault="00184DDC" w:rsidP="00184DDC">
            <w:pPr>
              <w:pStyle w:val="TAL"/>
              <w:numPr>
                <w:ilvl w:val="0"/>
                <w:numId w:val="34"/>
              </w:numPr>
              <w:overflowPunct/>
              <w:autoSpaceDE/>
              <w:autoSpaceDN/>
              <w:adjustRightInd/>
              <w:spacing w:line="256" w:lineRule="auto"/>
              <w:textAlignment w:val="auto"/>
              <w:rPr>
                <w:rFonts w:ascii="Times New Roman" w:eastAsia="SimSun" w:hAnsi="Times New Roman"/>
                <w:szCs w:val="18"/>
                <w:lang w:val="en-GB" w:eastAsia="en-US"/>
              </w:rPr>
            </w:pPr>
            <w:r w:rsidRPr="0003098E">
              <w:rPr>
                <w:rFonts w:ascii="Times New Roman" w:hAnsi="Times New Roman"/>
                <w:szCs w:val="18"/>
                <w:lang w:eastAsia="ja-JP"/>
              </w:rPr>
              <w:t>Candidate values for the component 6 of FG11-4a is: For NCP, {4, 5, 6, 7} for 2-symbol*7 sub-slot configuration; For ECP, the candidate value is {4,5,6} for 2-symbol*6 sub-slot configuration.</w:t>
            </w:r>
          </w:p>
        </w:tc>
      </w:tr>
      <w:tr w:rsidR="00184DDC" w:rsidRPr="0003098E" w14:paraId="239F07DF" w14:textId="77777777" w:rsidTr="00443EDF">
        <w:trPr>
          <w:trHeight w:val="20"/>
        </w:trPr>
        <w:tc>
          <w:tcPr>
            <w:tcW w:w="1345" w:type="dxa"/>
            <w:tcBorders>
              <w:top w:val="single" w:sz="4" w:space="0" w:color="auto"/>
              <w:left w:val="single" w:sz="4" w:space="0" w:color="auto"/>
              <w:right w:val="single" w:sz="4" w:space="0" w:color="auto"/>
            </w:tcBorders>
          </w:tcPr>
          <w:p w14:paraId="5EADD5C4" w14:textId="77777777" w:rsidR="00184DDC" w:rsidRPr="0003098E" w:rsidRDefault="00184DDC" w:rsidP="00443EDF">
            <w:pPr>
              <w:keepNext/>
              <w:keepLines/>
              <w:spacing w:line="256" w:lineRule="auto"/>
              <w:rPr>
                <w:rFonts w:eastAsia="SimSun"/>
                <w:sz w:val="18"/>
                <w:szCs w:val="18"/>
              </w:rPr>
            </w:pPr>
            <w:r w:rsidRPr="0003098E">
              <w:rPr>
                <w:rFonts w:eastAsia="SimSun"/>
                <w:sz w:val="18"/>
                <w:szCs w:val="18"/>
              </w:rPr>
              <w:t>12. NR_IIOT</w:t>
            </w:r>
          </w:p>
        </w:tc>
        <w:tc>
          <w:tcPr>
            <w:tcW w:w="720" w:type="dxa"/>
            <w:tcBorders>
              <w:top w:val="single" w:sz="4" w:space="0" w:color="auto"/>
              <w:left w:val="single" w:sz="4" w:space="0" w:color="auto"/>
              <w:bottom w:val="single" w:sz="4" w:space="0" w:color="auto"/>
              <w:right w:val="single" w:sz="4" w:space="0" w:color="auto"/>
            </w:tcBorders>
          </w:tcPr>
          <w:p w14:paraId="4DEEA37C" w14:textId="77777777" w:rsidR="00184DDC" w:rsidRPr="0003098E" w:rsidRDefault="00184DDC" w:rsidP="00443EDF">
            <w:pPr>
              <w:keepNext/>
              <w:keepLines/>
              <w:rPr>
                <w:rFonts w:eastAsia="SimSun"/>
                <w:sz w:val="18"/>
                <w:szCs w:val="18"/>
              </w:rPr>
            </w:pPr>
            <w:r w:rsidRPr="0003098E">
              <w:rPr>
                <w:rFonts w:eastAsia="SimSun"/>
                <w:sz w:val="18"/>
                <w:szCs w:val="18"/>
              </w:rPr>
              <w:t>12-1</w:t>
            </w:r>
          </w:p>
        </w:tc>
        <w:tc>
          <w:tcPr>
            <w:tcW w:w="2790" w:type="dxa"/>
            <w:tcBorders>
              <w:top w:val="single" w:sz="4" w:space="0" w:color="auto"/>
              <w:left w:val="single" w:sz="4" w:space="0" w:color="auto"/>
              <w:bottom w:val="single" w:sz="4" w:space="0" w:color="auto"/>
              <w:right w:val="single" w:sz="4" w:space="0" w:color="auto"/>
            </w:tcBorders>
          </w:tcPr>
          <w:p w14:paraId="5702995F" w14:textId="77777777" w:rsidR="00184DDC" w:rsidRPr="0003098E" w:rsidRDefault="00184DDC" w:rsidP="00443EDF">
            <w:pPr>
              <w:keepNext/>
              <w:keepLines/>
              <w:rPr>
                <w:rFonts w:eastAsia="SimSun"/>
                <w:sz w:val="18"/>
                <w:szCs w:val="18"/>
              </w:rPr>
            </w:pPr>
            <w:r w:rsidRPr="0003098E">
              <w:rPr>
                <w:rFonts w:eastAsia="SimSun"/>
                <w:sz w:val="18"/>
                <w:szCs w:val="18"/>
              </w:rPr>
              <w:t>UL intra-UE multiplexing/prioritization of overlapping channel/signals with two priority levels in physical layer</w:t>
            </w:r>
          </w:p>
        </w:tc>
        <w:tc>
          <w:tcPr>
            <w:tcW w:w="4860" w:type="dxa"/>
            <w:tcBorders>
              <w:top w:val="single" w:sz="4" w:space="0" w:color="auto"/>
              <w:left w:val="single" w:sz="4" w:space="0" w:color="auto"/>
              <w:bottom w:val="single" w:sz="4" w:space="0" w:color="auto"/>
              <w:right w:val="single" w:sz="4" w:space="0" w:color="auto"/>
            </w:tcBorders>
          </w:tcPr>
          <w:p w14:paraId="19C2BCBD" w14:textId="77777777" w:rsidR="00184DDC" w:rsidRPr="0003098E" w:rsidRDefault="00184DDC" w:rsidP="00443EDF">
            <w:pPr>
              <w:keepNext/>
              <w:keepLines/>
              <w:rPr>
                <w:rFonts w:eastAsia="SimSun"/>
                <w:sz w:val="18"/>
                <w:szCs w:val="18"/>
              </w:rPr>
            </w:pPr>
            <w:r w:rsidRPr="0003098E">
              <w:rPr>
                <w:rFonts w:eastAsia="SimSun"/>
                <w:sz w:val="18"/>
                <w:szCs w:val="18"/>
              </w:rPr>
              <w:t>Support intra-UE multiplexing/prioritization of overlapping PUCCH/PUCCH and PUCCH/PUSCH with two priority levels in physical layer (PHY)</w:t>
            </w:r>
          </w:p>
          <w:p w14:paraId="5ECF4F5D" w14:textId="77777777" w:rsidR="00184DDC" w:rsidRPr="0003098E" w:rsidRDefault="00184DDC" w:rsidP="00184DDC">
            <w:pPr>
              <w:keepNext/>
              <w:keepLines/>
              <w:numPr>
                <w:ilvl w:val="0"/>
                <w:numId w:val="33"/>
              </w:numPr>
              <w:overflowPunct/>
              <w:autoSpaceDE/>
              <w:autoSpaceDN/>
              <w:adjustRightInd/>
              <w:spacing w:after="160" w:line="259" w:lineRule="auto"/>
              <w:textAlignment w:val="auto"/>
              <w:rPr>
                <w:rFonts w:eastAsia="SimSun"/>
                <w:sz w:val="18"/>
                <w:szCs w:val="18"/>
              </w:rPr>
            </w:pPr>
            <w:r w:rsidRPr="0003098E">
              <w:rPr>
                <w:rFonts w:eastAsia="SimSun"/>
                <w:sz w:val="18"/>
                <w:szCs w:val="18"/>
              </w:rPr>
              <w:t>Configuration of PHY priority level for CG PUSCH and SR, and dynamic indication of priority level for dynamic PUSCH with a single DCI format</w:t>
            </w:r>
          </w:p>
          <w:p w14:paraId="52247F2C" w14:textId="77777777" w:rsidR="00184DDC" w:rsidRPr="0003098E" w:rsidRDefault="00184DDC" w:rsidP="00184DDC">
            <w:pPr>
              <w:keepNext/>
              <w:keepLines/>
              <w:numPr>
                <w:ilvl w:val="0"/>
                <w:numId w:val="33"/>
              </w:numPr>
              <w:overflowPunct/>
              <w:autoSpaceDE/>
              <w:autoSpaceDN/>
              <w:adjustRightInd/>
              <w:spacing w:after="160" w:line="259" w:lineRule="auto"/>
              <w:textAlignment w:val="auto"/>
              <w:rPr>
                <w:rFonts w:eastAsia="SimSun"/>
                <w:sz w:val="18"/>
                <w:szCs w:val="18"/>
              </w:rPr>
            </w:pPr>
            <w:r w:rsidRPr="0003098E">
              <w:rPr>
                <w:rFonts w:eastAsia="SimSun"/>
                <w:sz w:val="18"/>
                <w:szCs w:val="18"/>
              </w:rPr>
              <w:t>Multiplexing/prioritization between UL channels/signals with the same PHY priority level</w:t>
            </w:r>
          </w:p>
          <w:p w14:paraId="5D2F9366" w14:textId="77777777" w:rsidR="00184DDC" w:rsidRPr="0003098E" w:rsidRDefault="00184DDC" w:rsidP="00184DDC">
            <w:pPr>
              <w:keepNext/>
              <w:keepLines/>
              <w:numPr>
                <w:ilvl w:val="0"/>
                <w:numId w:val="33"/>
              </w:numPr>
              <w:overflowPunct/>
              <w:autoSpaceDE/>
              <w:autoSpaceDN/>
              <w:adjustRightInd/>
              <w:spacing w:after="160" w:line="259" w:lineRule="auto"/>
              <w:textAlignment w:val="auto"/>
              <w:rPr>
                <w:rFonts w:eastAsia="SimSun"/>
                <w:sz w:val="18"/>
                <w:szCs w:val="18"/>
              </w:rPr>
            </w:pPr>
            <w:r w:rsidRPr="0003098E">
              <w:rPr>
                <w:rFonts w:eastAsia="SimSun"/>
                <w:sz w:val="18"/>
                <w:szCs w:val="18"/>
              </w:rPr>
              <w:t>Prioritization between UL channels/signals with different PHY priority levels</w:t>
            </w:r>
          </w:p>
          <w:p w14:paraId="053696C9" w14:textId="77777777" w:rsidR="00184DDC" w:rsidRPr="0003098E" w:rsidRDefault="00184DDC" w:rsidP="00184DDC">
            <w:pPr>
              <w:keepNext/>
              <w:keepLines/>
              <w:numPr>
                <w:ilvl w:val="0"/>
                <w:numId w:val="33"/>
              </w:numPr>
              <w:overflowPunct/>
              <w:autoSpaceDE/>
              <w:autoSpaceDN/>
              <w:adjustRightInd/>
              <w:spacing w:after="160" w:line="259" w:lineRule="auto"/>
              <w:textAlignment w:val="auto"/>
              <w:rPr>
                <w:rFonts w:eastAsia="SimSun"/>
                <w:sz w:val="18"/>
                <w:szCs w:val="18"/>
              </w:rPr>
            </w:pPr>
            <w:r w:rsidRPr="0003098E">
              <w:rPr>
                <w:rFonts w:eastAsia="SimSun"/>
                <w:sz w:val="18"/>
                <w:szCs w:val="18"/>
              </w:rPr>
              <w:t>Additional number of symbols (d1) needed beyond the PUSCH preparation time for cancelling a low priority UL transmission.</w:t>
            </w:r>
          </w:p>
          <w:p w14:paraId="1A43519F" w14:textId="77777777" w:rsidR="00184DDC" w:rsidRPr="0003098E" w:rsidRDefault="00184DDC" w:rsidP="00184DDC">
            <w:pPr>
              <w:keepNext/>
              <w:keepLines/>
              <w:numPr>
                <w:ilvl w:val="0"/>
                <w:numId w:val="33"/>
              </w:numPr>
              <w:overflowPunct/>
              <w:autoSpaceDE/>
              <w:autoSpaceDN/>
              <w:adjustRightInd/>
              <w:spacing w:after="160" w:line="259" w:lineRule="auto"/>
              <w:textAlignment w:val="auto"/>
              <w:rPr>
                <w:rFonts w:eastAsia="SimSun"/>
                <w:sz w:val="18"/>
                <w:szCs w:val="18"/>
              </w:rPr>
            </w:pPr>
            <w:r w:rsidRPr="0003098E">
              <w:rPr>
                <w:rFonts w:eastAsia="SimSun"/>
                <w:sz w:val="18"/>
                <w:szCs w:val="18"/>
              </w:rPr>
              <w:t xml:space="preserve">Additional number of symbols (d2) needed beyond the PUSCH preparation time for scheduling a high priority UL transmission that cancels a low priority UL transmission </w:t>
            </w:r>
          </w:p>
        </w:tc>
      </w:tr>
    </w:tbl>
    <w:p w14:paraId="26FDB7F3" w14:textId="77777777" w:rsidR="00184DDC" w:rsidRPr="00540024" w:rsidRDefault="00184DDC" w:rsidP="00184DDC">
      <w:pPr>
        <w:pStyle w:val="Proposal"/>
        <w:numPr>
          <w:ilvl w:val="0"/>
          <w:numId w:val="0"/>
        </w:numPr>
        <w:sectPr w:rsidR="00184DDC" w:rsidRPr="00540024" w:rsidSect="008179A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E86B91F" w14:textId="77777777" w:rsidR="00184DDC" w:rsidRPr="002D3876" w:rsidRDefault="00184DDC" w:rsidP="00184DDC"/>
    <w:p w14:paraId="1E9FC4B8" w14:textId="50DE1DA7" w:rsidR="00184DDC" w:rsidRDefault="00184DDC" w:rsidP="00E81522">
      <w:pPr>
        <w:pStyle w:val="BodyText"/>
      </w:pPr>
    </w:p>
    <w:p w14:paraId="74246070" w14:textId="77777777" w:rsidR="00184DDC" w:rsidRDefault="00184DDC" w:rsidP="00E81522">
      <w:pPr>
        <w:pStyle w:val="BodyText"/>
      </w:pPr>
    </w:p>
    <w:p w14:paraId="66F23E9A" w14:textId="163E40C2" w:rsidR="000B45B6" w:rsidRDefault="00D53056" w:rsidP="000B45B6">
      <w:pPr>
        <w:pStyle w:val="Heading2"/>
      </w:pPr>
      <w:r>
        <w:t>2.5</w:t>
      </w:r>
      <w:r>
        <w:tab/>
      </w:r>
      <w:r w:rsidR="0006270D">
        <w:t>P</w:t>
      </w:r>
      <w:r w:rsidR="000B45B6">
        <w:t>ositioning</w:t>
      </w:r>
      <w:bookmarkEnd w:id="19"/>
    </w:p>
    <w:p w14:paraId="6D4718C2" w14:textId="7E3635CA" w:rsidR="00D53056" w:rsidRPr="00D53056" w:rsidRDefault="00E002B9" w:rsidP="00E002B9">
      <w:pPr>
        <w:pStyle w:val="BodyText"/>
      </w:pPr>
      <w:r>
        <w:t>No further input</w:t>
      </w:r>
      <w:r w:rsidR="00921997">
        <w:t>.</w:t>
      </w:r>
    </w:p>
    <w:p w14:paraId="76588DC8" w14:textId="2FE3919E" w:rsidR="000B45B6" w:rsidRDefault="00D53056" w:rsidP="000B45B6">
      <w:pPr>
        <w:pStyle w:val="Heading2"/>
      </w:pPr>
      <w:bookmarkStart w:id="20" w:name="_Toc47741934"/>
      <w:r>
        <w:t>2.6</w:t>
      </w:r>
      <w:r>
        <w:tab/>
      </w:r>
      <w:r w:rsidR="000B45B6">
        <w:t>TEI</w:t>
      </w:r>
      <w:r w:rsidR="002C325F">
        <w:t>16</w:t>
      </w:r>
      <w:bookmarkEnd w:id="20"/>
    </w:p>
    <w:p w14:paraId="3E442AD1" w14:textId="600B6474" w:rsidR="000B45B6" w:rsidRDefault="00D53056" w:rsidP="000B45B6">
      <w:pPr>
        <w:pStyle w:val="Heading2"/>
      </w:pPr>
      <w:bookmarkStart w:id="21" w:name="_Toc47741937"/>
      <w:r>
        <w:t>2.7</w:t>
      </w:r>
      <w:r>
        <w:tab/>
      </w:r>
      <w:r w:rsidR="000B45B6">
        <w:t>5G</w:t>
      </w:r>
      <w:r w:rsidR="0006270D">
        <w:t xml:space="preserve"> </w:t>
      </w:r>
      <w:r w:rsidR="000B45B6">
        <w:t>V2X</w:t>
      </w:r>
      <w:bookmarkEnd w:id="21"/>
    </w:p>
    <w:p w14:paraId="5FEBFF66" w14:textId="77777777" w:rsidR="00EF7814" w:rsidRPr="00E041BB" w:rsidRDefault="00EF7814" w:rsidP="00EF7814">
      <w:pPr>
        <w:pStyle w:val="BodyText"/>
      </w:pPr>
      <w:r>
        <w:t>No further input.</w:t>
      </w:r>
    </w:p>
    <w:p w14:paraId="582B62D3" w14:textId="544C511F" w:rsidR="000B45B6" w:rsidRDefault="00D53056" w:rsidP="000B45B6">
      <w:pPr>
        <w:pStyle w:val="Heading2"/>
      </w:pPr>
      <w:bookmarkStart w:id="22" w:name="_Toc47741938"/>
      <w:r>
        <w:t>2.8</w:t>
      </w:r>
      <w:r>
        <w:tab/>
      </w:r>
      <w:r w:rsidR="0006270D">
        <w:t>MIMO</w:t>
      </w:r>
      <w:bookmarkEnd w:id="22"/>
    </w:p>
    <w:p w14:paraId="1539A8BF" w14:textId="77777777" w:rsidR="00EF7814" w:rsidRPr="00E041BB" w:rsidRDefault="00EF7814" w:rsidP="00EF7814">
      <w:pPr>
        <w:pStyle w:val="BodyText"/>
      </w:pPr>
      <w:r>
        <w:t>No further input.</w:t>
      </w:r>
    </w:p>
    <w:p w14:paraId="137B1CC2" w14:textId="7242FA53" w:rsidR="000B45B6" w:rsidRDefault="00D53056" w:rsidP="000B45B6">
      <w:pPr>
        <w:pStyle w:val="Heading2"/>
      </w:pPr>
      <w:bookmarkStart w:id="23" w:name="_Toc47741947"/>
      <w:r>
        <w:t>2.9</w:t>
      </w:r>
      <w:r>
        <w:tab/>
      </w:r>
      <w:r w:rsidR="000B45B6">
        <w:t>CLI</w:t>
      </w:r>
      <w:r w:rsidR="002C325F">
        <w:t>/</w:t>
      </w:r>
      <w:r w:rsidR="000B45B6">
        <w:t>RIM</w:t>
      </w:r>
      <w:bookmarkEnd w:id="23"/>
    </w:p>
    <w:p w14:paraId="0E8A27E9" w14:textId="34D8EA77" w:rsidR="00E041BB" w:rsidRPr="00E041BB" w:rsidRDefault="00926EBF" w:rsidP="00926EBF">
      <w:pPr>
        <w:pStyle w:val="BodyText"/>
      </w:pPr>
      <w:r>
        <w:t>No further input.</w:t>
      </w:r>
    </w:p>
    <w:p w14:paraId="750B0BBA" w14:textId="1C9197FF" w:rsidR="000B45B6" w:rsidRDefault="00D53056" w:rsidP="000B45B6">
      <w:pPr>
        <w:pStyle w:val="Heading2"/>
      </w:pPr>
      <w:bookmarkStart w:id="24" w:name="_Toc47741948"/>
      <w:r>
        <w:t>2.10</w:t>
      </w:r>
      <w:r>
        <w:tab/>
      </w:r>
      <w:r w:rsidR="000B45B6">
        <w:t>MR-DC/CA enhancement</w:t>
      </w:r>
      <w:bookmarkEnd w:id="24"/>
    </w:p>
    <w:p w14:paraId="12E1489D" w14:textId="77777777" w:rsidR="00EF3BAA" w:rsidRPr="00E041BB" w:rsidRDefault="00EF3BAA" w:rsidP="00EF3BAA">
      <w:pPr>
        <w:pStyle w:val="BodyText"/>
      </w:pPr>
      <w:r>
        <w:t>No further input.</w:t>
      </w:r>
    </w:p>
    <w:p w14:paraId="43CDC2D3" w14:textId="43B4026C" w:rsidR="000B45B6" w:rsidRDefault="00E041BB" w:rsidP="000B45B6">
      <w:pPr>
        <w:pStyle w:val="Heading2"/>
      </w:pPr>
      <w:bookmarkStart w:id="25" w:name="_Toc47741951"/>
      <w:r>
        <w:t>2.11</w:t>
      </w:r>
      <w:r>
        <w:tab/>
      </w:r>
      <w:r w:rsidR="000B45B6">
        <w:t>UE Power Saving</w:t>
      </w:r>
      <w:bookmarkEnd w:id="25"/>
    </w:p>
    <w:p w14:paraId="1D93BEA2" w14:textId="77777777" w:rsidR="004E010B" w:rsidRPr="00E041BB" w:rsidRDefault="004E010B" w:rsidP="004E010B">
      <w:pPr>
        <w:pStyle w:val="BodyText"/>
      </w:pPr>
      <w:r>
        <w:t>No further input.</w:t>
      </w:r>
    </w:p>
    <w:p w14:paraId="47B7F3FD" w14:textId="6C06D756" w:rsidR="000B45B6" w:rsidRDefault="00E041BB" w:rsidP="000B45B6">
      <w:pPr>
        <w:pStyle w:val="Heading2"/>
      </w:pPr>
      <w:bookmarkStart w:id="26" w:name="_Toc47741954"/>
      <w:r>
        <w:t>2.12</w:t>
      </w:r>
      <w:r>
        <w:tab/>
      </w:r>
      <w:r w:rsidR="000B45B6">
        <w:t>IAB</w:t>
      </w:r>
      <w:bookmarkEnd w:id="26"/>
    </w:p>
    <w:p w14:paraId="5D7FEA23" w14:textId="0105AB72" w:rsidR="00E041BB" w:rsidRPr="00E041BB" w:rsidRDefault="00530E2B" w:rsidP="00530E2B">
      <w:pPr>
        <w:pStyle w:val="BodyText"/>
      </w:pPr>
      <w:r>
        <w:t>No further input.</w:t>
      </w:r>
    </w:p>
    <w:p w14:paraId="77181ADB" w14:textId="0AEBCF40" w:rsidR="000B45B6" w:rsidRDefault="00E041BB" w:rsidP="000B45B6">
      <w:pPr>
        <w:pStyle w:val="Heading2"/>
      </w:pPr>
      <w:bookmarkStart w:id="27" w:name="_Toc47741955"/>
      <w:r>
        <w:t>2.13</w:t>
      </w:r>
      <w:r>
        <w:tab/>
      </w:r>
      <w:r w:rsidR="000B45B6">
        <w:t>Mobility Enhancement</w:t>
      </w:r>
      <w:bookmarkEnd w:id="27"/>
    </w:p>
    <w:p w14:paraId="30746154" w14:textId="77777777" w:rsidR="00530E2B" w:rsidRPr="00E041BB" w:rsidRDefault="00530E2B" w:rsidP="00530E2B">
      <w:pPr>
        <w:pStyle w:val="BodyText"/>
      </w:pPr>
      <w:r>
        <w:t>No further input.</w:t>
      </w:r>
    </w:p>
    <w:p w14:paraId="137A8A9E" w14:textId="77777777" w:rsidR="00E041BB" w:rsidRPr="00E041BB" w:rsidRDefault="00E041BB" w:rsidP="00E041BB"/>
    <w:p w14:paraId="72CB3D9D" w14:textId="26EE8FF6" w:rsidR="000B45B6" w:rsidRDefault="00E041BB" w:rsidP="000B45B6">
      <w:pPr>
        <w:pStyle w:val="Heading2"/>
      </w:pPr>
      <w:bookmarkStart w:id="28" w:name="_Toc47741956"/>
      <w:r>
        <w:t>2.14</w:t>
      </w:r>
      <w:r>
        <w:tab/>
      </w:r>
      <w:r w:rsidR="000B45B6">
        <w:t>Potential change/update on existing UE features for Rel-16 UE</w:t>
      </w:r>
      <w:bookmarkEnd w:id="28"/>
    </w:p>
    <w:p w14:paraId="7BC6A99B" w14:textId="77777777" w:rsidR="00530E2B" w:rsidRPr="00E041BB" w:rsidRDefault="00530E2B" w:rsidP="00530E2B">
      <w:pPr>
        <w:pStyle w:val="BodyText"/>
      </w:pPr>
      <w:r>
        <w:t>No further input.</w:t>
      </w:r>
    </w:p>
    <w:p w14:paraId="29158E69" w14:textId="77777777" w:rsidR="00E041BB" w:rsidRPr="00E041BB" w:rsidRDefault="00E041BB" w:rsidP="00E041BB"/>
    <w:p w14:paraId="10CD2C3E" w14:textId="551380C3" w:rsidR="006E1C82" w:rsidRDefault="00E041BB" w:rsidP="00801A31">
      <w:pPr>
        <w:pStyle w:val="Heading2"/>
        <w:rPr>
          <w:b/>
          <w:bCs/>
        </w:rPr>
      </w:pPr>
      <w:bookmarkStart w:id="29" w:name="_Toc47741957"/>
      <w:r>
        <w:t>2.15</w:t>
      </w:r>
      <w:r>
        <w:tab/>
      </w:r>
      <w:r w:rsidR="000B45B6">
        <w:t>New FGs that are not dedicated to a specific Rel-16 work item/TEI</w:t>
      </w:r>
      <w:bookmarkEnd w:id="29"/>
    </w:p>
    <w:p w14:paraId="0F659433" w14:textId="77777777" w:rsidR="00530E2B" w:rsidRPr="00E041BB" w:rsidRDefault="00530E2B" w:rsidP="00530E2B">
      <w:pPr>
        <w:pStyle w:val="BodyText"/>
      </w:pPr>
      <w:r>
        <w:t>No further input.</w:t>
      </w:r>
    </w:p>
    <w:p w14:paraId="1B45ACC5" w14:textId="04A788B4" w:rsidR="00CD1EA9" w:rsidRDefault="00CD1EA9" w:rsidP="00CD1EA9">
      <w:pPr>
        <w:pStyle w:val="Heading2"/>
      </w:pPr>
      <w:r>
        <w:lastRenderedPageBreak/>
        <w:t>2.16</w:t>
      </w:r>
      <w:r>
        <w:tab/>
        <w:t>UE feature interpretation in case of cross-carrier operation</w:t>
      </w:r>
    </w:p>
    <w:p w14:paraId="706D793D" w14:textId="1915364A" w:rsidR="00C820FE" w:rsidRDefault="00C820FE" w:rsidP="00FA6106">
      <w:pPr>
        <w:rPr>
          <w:rFonts w:ascii="Arial" w:hAnsi="Arial" w:cs="Arial"/>
        </w:rPr>
      </w:pPr>
      <w:r>
        <w:rPr>
          <w:rFonts w:ascii="Arial" w:hAnsi="Arial" w:cs="Arial"/>
        </w:rPr>
        <w:t xml:space="preserve">In last RAN1 meeting, RAN1 discussed and agreed on the interpretation applicable for some features, while the discussion did not conclude on FG 3-5b (or </w:t>
      </w:r>
      <w:proofErr w:type="spellStart"/>
      <w:r w:rsidRPr="00C820FE">
        <w:rPr>
          <w:rFonts w:ascii="Arial" w:hAnsi="Arial" w:cs="Arial"/>
          <w:i/>
          <w:iCs/>
        </w:rPr>
        <w:t>pdcch-MonitoringAnyOccasionsWithSpanGap</w:t>
      </w:r>
      <w:proofErr w:type="spellEnd"/>
      <w:r>
        <w:rPr>
          <w:rFonts w:ascii="Arial" w:hAnsi="Arial" w:cs="Arial"/>
        </w:rPr>
        <w:t>)</w:t>
      </w:r>
      <w:r w:rsidR="00FD2088">
        <w:rPr>
          <w:rFonts w:ascii="Arial" w:hAnsi="Arial" w:cs="Arial"/>
        </w:rPr>
        <w:t xml:space="preserve"> [</w:t>
      </w:r>
      <w:r w:rsidR="00963D14">
        <w:rPr>
          <w:rFonts w:ascii="Arial" w:hAnsi="Arial" w:cs="Arial"/>
        </w:rPr>
        <w:t>4</w:t>
      </w:r>
      <w:r w:rsidR="00FD2088">
        <w:rPr>
          <w:rFonts w:ascii="Arial" w:hAnsi="Arial" w:cs="Arial"/>
        </w:rPr>
        <w:t>].</w:t>
      </w:r>
    </w:p>
    <w:p w14:paraId="75A83342" w14:textId="77777777" w:rsidR="00C820FE" w:rsidRDefault="00C820FE" w:rsidP="00C820FE">
      <w:pPr>
        <w:pStyle w:val="ListParagraph"/>
        <w:numPr>
          <w:ilvl w:val="0"/>
          <w:numId w:val="14"/>
        </w:numPr>
        <w:textAlignment w:val="auto"/>
        <w:rPr>
          <w:rFonts w:ascii="Arial" w:hAnsi="Arial" w:cs="Arial"/>
          <w:sz w:val="20"/>
          <w:szCs w:val="20"/>
        </w:rPr>
      </w:pPr>
      <w:r>
        <w:rPr>
          <w:rFonts w:ascii="Arial" w:hAnsi="Arial" w:cs="Arial"/>
          <w:sz w:val="20"/>
          <w:szCs w:val="20"/>
        </w:rPr>
        <w:t xml:space="preserve">Interpretation1: Support of this UE capability is based on the support of this capability for the band of the </w:t>
      </w:r>
      <w:r w:rsidRPr="00C820FE">
        <w:rPr>
          <w:rFonts w:ascii="Arial" w:hAnsi="Arial" w:cs="Arial"/>
          <w:sz w:val="20"/>
          <w:szCs w:val="20"/>
        </w:rPr>
        <w:t>scheduled/triggered/indicated</w:t>
      </w:r>
      <w:r>
        <w:rPr>
          <w:rFonts w:ascii="Arial" w:hAnsi="Arial" w:cs="Arial"/>
          <w:sz w:val="20"/>
          <w:szCs w:val="20"/>
        </w:rPr>
        <w:t xml:space="preserve"> cell only.</w:t>
      </w:r>
    </w:p>
    <w:p w14:paraId="50C373B8" w14:textId="77777777" w:rsidR="00C820FE" w:rsidRDefault="00C820FE" w:rsidP="00C820FE">
      <w:pPr>
        <w:pStyle w:val="ListParagraph"/>
        <w:numPr>
          <w:ilvl w:val="0"/>
          <w:numId w:val="14"/>
        </w:numPr>
        <w:textAlignment w:val="auto"/>
        <w:rPr>
          <w:rFonts w:ascii="Arial" w:hAnsi="Arial" w:cs="Arial"/>
          <w:sz w:val="20"/>
          <w:szCs w:val="20"/>
        </w:rPr>
      </w:pPr>
      <w:r>
        <w:rPr>
          <w:rFonts w:ascii="Arial" w:hAnsi="Arial" w:cs="Arial"/>
          <w:sz w:val="20"/>
          <w:szCs w:val="20"/>
        </w:rPr>
        <w:t>Interpretation2: Support of this UE capability is based on the support of this capability for the band of the scheduling/triggering/indicating cell only.</w:t>
      </w:r>
    </w:p>
    <w:p w14:paraId="753B46B6" w14:textId="77777777" w:rsidR="00C820FE" w:rsidRDefault="00C820FE" w:rsidP="00C820FE">
      <w:pPr>
        <w:pStyle w:val="ListParagraph"/>
        <w:numPr>
          <w:ilvl w:val="0"/>
          <w:numId w:val="14"/>
        </w:numPr>
        <w:textAlignment w:val="auto"/>
        <w:rPr>
          <w:rFonts w:ascii="Arial" w:hAnsi="Arial" w:cs="Arial"/>
          <w:sz w:val="20"/>
          <w:szCs w:val="20"/>
        </w:rPr>
      </w:pPr>
      <w:r>
        <w:rPr>
          <w:rFonts w:ascii="Arial" w:hAnsi="Arial" w:cs="Arial"/>
          <w:sz w:val="20"/>
          <w:szCs w:val="20"/>
        </w:rPr>
        <w:t>Interpretation3: Support of this UE capability is based on the support of this capability for both the band of the scheduled/triggered/indicated cell and the band of the scheduling/triggering/indicating cell.</w:t>
      </w:r>
    </w:p>
    <w:p w14:paraId="4C2D49CC" w14:textId="4400E7BF" w:rsidR="00C820FE" w:rsidRDefault="00C820FE" w:rsidP="00FA6106">
      <w:pPr>
        <w:rPr>
          <w:rFonts w:ascii="Arial" w:hAnsi="Arial" w:cs="Arial"/>
        </w:rPr>
      </w:pPr>
    </w:p>
    <w:p w14:paraId="0A0954DE" w14:textId="02032599" w:rsidR="009C18A5" w:rsidRDefault="00C820FE" w:rsidP="00FA6106">
      <w:pPr>
        <w:rPr>
          <w:rFonts w:ascii="Arial" w:hAnsi="Arial" w:cs="Arial"/>
        </w:rPr>
      </w:pPr>
      <w:r>
        <w:rPr>
          <w:rFonts w:ascii="Arial" w:hAnsi="Arial" w:cs="Arial"/>
        </w:rPr>
        <w:t xml:space="preserve">For FG 3-5b, </w:t>
      </w:r>
      <w:r w:rsidR="00FD2088">
        <w:rPr>
          <w:rFonts w:ascii="Arial" w:hAnsi="Arial" w:cs="Arial"/>
        </w:rPr>
        <w:t>there were differing views on which interpretation should be supported, between Interpretation 3 and Interpretation 2.</w:t>
      </w:r>
    </w:p>
    <w:p w14:paraId="5716BA20" w14:textId="5D967D87" w:rsidR="009C18A5" w:rsidRDefault="00FD2088" w:rsidP="009C18A5">
      <w:pPr>
        <w:jc w:val="both"/>
        <w:rPr>
          <w:rFonts w:ascii="Arial" w:hAnsi="Arial" w:cs="Arial"/>
        </w:rPr>
      </w:pPr>
      <w:r>
        <w:rPr>
          <w:rFonts w:ascii="Arial" w:hAnsi="Arial" w:cs="Arial"/>
        </w:rPr>
        <w:t>For interpretation 3, the main benefit is that it allows</w:t>
      </w:r>
      <w:r w:rsidRPr="00FD2088">
        <w:rPr>
          <w:rFonts w:ascii="Arial" w:hAnsi="Arial" w:cs="Arial"/>
        </w:rPr>
        <w:t xml:space="preserve"> </w:t>
      </w:r>
      <w:r>
        <w:rPr>
          <w:rFonts w:ascii="Arial" w:hAnsi="Arial" w:cs="Arial"/>
        </w:rPr>
        <w:t xml:space="preserve">UE to </w:t>
      </w:r>
      <w:r w:rsidRPr="00FD2088">
        <w:rPr>
          <w:rFonts w:ascii="Arial" w:hAnsi="Arial" w:cs="Arial"/>
        </w:rPr>
        <w:t>differen</w:t>
      </w:r>
      <w:r>
        <w:rPr>
          <w:rFonts w:ascii="Arial" w:hAnsi="Arial" w:cs="Arial"/>
        </w:rPr>
        <w:t xml:space="preserve">tiate </w:t>
      </w:r>
      <w:r w:rsidRPr="00FD2088">
        <w:rPr>
          <w:rFonts w:ascii="Arial" w:hAnsi="Arial" w:cs="Arial"/>
        </w:rPr>
        <w:t>the support of FG3-5b with FR1 scheduling FR1 from FR1 scheduling FR2</w:t>
      </w:r>
      <w:r>
        <w:rPr>
          <w:rFonts w:ascii="Arial" w:hAnsi="Arial" w:cs="Arial"/>
        </w:rPr>
        <w:t xml:space="preserve"> [</w:t>
      </w:r>
      <w:r w:rsidR="00963D14">
        <w:rPr>
          <w:rFonts w:ascii="Arial" w:hAnsi="Arial" w:cs="Arial"/>
        </w:rPr>
        <w:t>5</w:t>
      </w:r>
      <w:r>
        <w:rPr>
          <w:rFonts w:ascii="Arial" w:hAnsi="Arial" w:cs="Arial"/>
        </w:rPr>
        <w:t xml:space="preserve">]. </w:t>
      </w:r>
      <w:r w:rsidR="009C18A5">
        <w:rPr>
          <w:rFonts w:ascii="Arial" w:hAnsi="Arial" w:cs="Arial"/>
        </w:rPr>
        <w:t>A</w:t>
      </w:r>
      <w:r w:rsidR="009C18A5" w:rsidRPr="00FD2088">
        <w:rPr>
          <w:rFonts w:ascii="Arial" w:hAnsi="Arial" w:cs="Arial"/>
        </w:rPr>
        <w:t xml:space="preserve"> main concern with interpretation 3 is </w:t>
      </w:r>
      <w:r w:rsidR="009C18A5">
        <w:rPr>
          <w:rFonts w:ascii="Arial" w:hAnsi="Arial" w:cs="Arial"/>
        </w:rPr>
        <w:t xml:space="preserve">that </w:t>
      </w:r>
      <w:r w:rsidR="009C18A5" w:rsidRPr="00FD2088">
        <w:rPr>
          <w:rFonts w:ascii="Arial" w:hAnsi="Arial" w:cs="Arial"/>
        </w:rPr>
        <w:t xml:space="preserve">support for FG 3-5b for FR2 self-scheduling is made a pre-condition to indicate support for FG 3-5b with FR1-to-FR2 cross-carrier scheduling. </w:t>
      </w:r>
    </w:p>
    <w:p w14:paraId="7289E26D" w14:textId="1F999FA0" w:rsidR="009C18A5" w:rsidRDefault="009C18A5" w:rsidP="009C18A5">
      <w:pPr>
        <w:jc w:val="both"/>
        <w:rPr>
          <w:rFonts w:ascii="Arial" w:hAnsi="Arial" w:cs="Arial"/>
        </w:rPr>
      </w:pPr>
      <w:r>
        <w:rPr>
          <w:rFonts w:ascii="Arial" w:hAnsi="Arial" w:cs="Arial"/>
        </w:rPr>
        <w:t>Interpretation 2 is a more straightforward interpretation as FG 3-5b is related to the PDCCH monitoring capability which is naturally related to the scheduling cell PDCCH monitoring. On the other hand, at least some UE vendors</w:t>
      </w:r>
      <w:r w:rsidR="005133C8">
        <w:rPr>
          <w:rFonts w:ascii="Arial" w:hAnsi="Arial" w:cs="Arial"/>
        </w:rPr>
        <w:t xml:space="preserve">’ </w:t>
      </w:r>
      <w:r>
        <w:rPr>
          <w:rFonts w:ascii="Arial" w:hAnsi="Arial" w:cs="Arial"/>
        </w:rPr>
        <w:t xml:space="preserve">concern with interpretation 2 is that it does not allow UE to differentiate support of FG 3-5 b for FR1-scheduling FR1 from FR1-scheduling-FR2. </w:t>
      </w:r>
    </w:p>
    <w:p w14:paraId="60051640" w14:textId="7B357F7F" w:rsidR="009C18A5" w:rsidRDefault="005133C8" w:rsidP="00FA6106">
      <w:pPr>
        <w:rPr>
          <w:rFonts w:ascii="Arial" w:hAnsi="Arial" w:cs="Arial"/>
        </w:rPr>
      </w:pPr>
      <w:r>
        <w:rPr>
          <w:rFonts w:ascii="Arial" w:hAnsi="Arial" w:cs="Arial"/>
        </w:rPr>
        <w:t>With current status, a</w:t>
      </w:r>
      <w:r w:rsidR="009C18A5">
        <w:rPr>
          <w:rFonts w:ascii="Arial" w:hAnsi="Arial" w:cs="Arial"/>
        </w:rPr>
        <w:t xml:space="preserve"> potential compromise would be to find an interpretation that mitigates above concerns. </w:t>
      </w:r>
    </w:p>
    <w:p w14:paraId="6E1B1BEB" w14:textId="49319297" w:rsidR="009C18A5" w:rsidRPr="009C18A5" w:rsidRDefault="009C18A5" w:rsidP="00FA6106">
      <w:pPr>
        <w:rPr>
          <w:rFonts w:ascii="Arial" w:hAnsi="Arial" w:cs="Arial"/>
        </w:rPr>
      </w:pPr>
      <w:r>
        <w:rPr>
          <w:rFonts w:ascii="Arial" w:hAnsi="Arial" w:cs="Arial"/>
        </w:rPr>
        <w:t xml:space="preserve">For example, introducing a </w:t>
      </w:r>
      <w:r w:rsidR="00D442E8">
        <w:rPr>
          <w:rFonts w:ascii="Arial" w:hAnsi="Arial" w:cs="Arial"/>
        </w:rPr>
        <w:t>per-</w:t>
      </w:r>
      <w:r>
        <w:rPr>
          <w:rFonts w:ascii="Arial" w:hAnsi="Arial" w:cs="Arial"/>
        </w:rPr>
        <w:t xml:space="preserve">UE </w:t>
      </w:r>
      <w:r w:rsidR="00D442E8">
        <w:rPr>
          <w:rFonts w:ascii="Arial" w:hAnsi="Arial" w:cs="Arial"/>
        </w:rPr>
        <w:t xml:space="preserve">UE </w:t>
      </w:r>
      <w:r>
        <w:rPr>
          <w:rFonts w:ascii="Arial" w:hAnsi="Arial" w:cs="Arial"/>
        </w:rPr>
        <w:t xml:space="preserve">capability that allows a UE to indicate </w:t>
      </w:r>
      <w:r w:rsidR="00F552CE">
        <w:rPr>
          <w:rFonts w:ascii="Arial" w:hAnsi="Arial" w:cs="Arial"/>
        </w:rPr>
        <w:t>which interpretation of</w:t>
      </w:r>
      <w:r>
        <w:rPr>
          <w:rFonts w:ascii="Arial" w:hAnsi="Arial" w:cs="Arial"/>
        </w:rPr>
        <w:t xml:space="preserve"> Interpretation 2 </w:t>
      </w:r>
      <w:r w:rsidR="00F552CE">
        <w:rPr>
          <w:rFonts w:ascii="Arial" w:hAnsi="Arial" w:cs="Arial"/>
        </w:rPr>
        <w:t>and</w:t>
      </w:r>
      <w:r>
        <w:rPr>
          <w:rFonts w:ascii="Arial" w:hAnsi="Arial" w:cs="Arial"/>
        </w:rPr>
        <w:t xml:space="preserve"> Interpretation 3 for </w:t>
      </w:r>
      <w:proofErr w:type="spellStart"/>
      <w:r w:rsidRPr="00C820FE">
        <w:rPr>
          <w:rFonts w:ascii="Arial" w:hAnsi="Arial" w:cs="Arial"/>
          <w:i/>
          <w:iCs/>
        </w:rPr>
        <w:t>pdcch-MonitoringAnyOccasionsWithSpanGap</w:t>
      </w:r>
      <w:proofErr w:type="spellEnd"/>
      <w:r>
        <w:rPr>
          <w:rFonts w:ascii="Arial" w:hAnsi="Arial" w:cs="Arial"/>
        </w:rPr>
        <w:t xml:space="preserve"> and cross-carrier scheduling with different SCS. </w:t>
      </w:r>
    </w:p>
    <w:p w14:paraId="7473044B" w14:textId="1FC7DD1A" w:rsidR="00FD2088" w:rsidRDefault="00FD2088" w:rsidP="00FD2088">
      <w:pPr>
        <w:rPr>
          <w:rFonts w:ascii="Arial" w:hAnsi="Arial" w:cs="Arial"/>
        </w:rPr>
      </w:pPr>
      <w:r w:rsidRPr="00FD2088">
        <w:rPr>
          <w:rFonts w:ascii="Arial" w:hAnsi="Arial" w:cs="Arial"/>
        </w:rPr>
        <w:t xml:space="preserve">From our perspective, we are OK with interpretation 3 for Rel-15 i.e. CCS with same SCS. </w:t>
      </w:r>
    </w:p>
    <w:p w14:paraId="727189A2" w14:textId="3D955B07" w:rsidR="00FA6106" w:rsidRPr="00F552CE" w:rsidRDefault="005133C8" w:rsidP="00EF7814">
      <w:pPr>
        <w:pStyle w:val="Proposal"/>
        <w:tabs>
          <w:tab w:val="left" w:pos="1701"/>
        </w:tabs>
        <w:overflowPunct/>
        <w:autoSpaceDE/>
        <w:autoSpaceDN/>
        <w:adjustRightInd/>
        <w:spacing w:line="259" w:lineRule="auto"/>
        <w:ind w:left="1701" w:hanging="1701"/>
        <w:textAlignment w:val="auto"/>
      </w:pPr>
      <w:bookmarkStart w:id="30" w:name="_Toc61905352"/>
      <w:r>
        <w:t>For Rel16, i</w:t>
      </w:r>
      <w:r w:rsidR="00F552CE" w:rsidRPr="00F552CE">
        <w:t xml:space="preserve">ntroduce UE capability signalling to indicate which Interpretation of Interpretations 2 and 3 is supported for FG3-5b (i.e., </w:t>
      </w:r>
      <w:proofErr w:type="spellStart"/>
      <w:r w:rsidR="00F552CE" w:rsidRPr="00EF7814">
        <w:rPr>
          <w:i/>
          <w:iCs/>
        </w:rPr>
        <w:t>pdcch-MonitoringAnyOccasionsWithSpanGap</w:t>
      </w:r>
      <w:proofErr w:type="spellEnd"/>
      <w:r w:rsidR="00F552CE" w:rsidRPr="00F552CE">
        <w:t xml:space="preserve">) </w:t>
      </w:r>
      <w:r w:rsidR="005E48F3">
        <w:t xml:space="preserve">support for </w:t>
      </w:r>
      <w:r w:rsidR="00F552CE" w:rsidRPr="00F552CE">
        <w:t>cross-carrier scheduling between different SCS</w:t>
      </w:r>
      <w:r w:rsidR="005E48F3">
        <w:t xml:space="preserve"> (i.e. </w:t>
      </w:r>
      <w:proofErr w:type="spellStart"/>
      <w:r w:rsidR="005E48F3" w:rsidRPr="001C352B">
        <w:rPr>
          <w:i/>
          <w:iCs/>
        </w:rPr>
        <w:t>crossCarrierScheduling-OtherSCS</w:t>
      </w:r>
      <w:proofErr w:type="spellEnd"/>
      <w:r w:rsidR="005E48F3">
        <w:t>)</w:t>
      </w:r>
      <w:r w:rsidR="00F552CE" w:rsidRPr="00F552CE">
        <w:t>.</w:t>
      </w:r>
      <w:bookmarkEnd w:id="30"/>
      <w:r w:rsidR="00F552CE" w:rsidRPr="00F552CE">
        <w:t xml:space="preserve"> </w:t>
      </w:r>
    </w:p>
    <w:p w14:paraId="4CFFDC0D" w14:textId="7B45C180" w:rsidR="00E041BB" w:rsidRPr="00E041BB" w:rsidRDefault="00E041BB" w:rsidP="004C24D0">
      <w:pPr>
        <w:pStyle w:val="Heading1"/>
        <w:keepLines w:val="0"/>
      </w:pPr>
      <w:bookmarkStart w:id="31" w:name="_Toc47741958"/>
      <w:r>
        <w:lastRenderedPageBreak/>
        <w:t>3</w:t>
      </w:r>
      <w:r>
        <w:tab/>
        <w:t>Conclusions</w:t>
      </w:r>
      <w:bookmarkEnd w:id="31"/>
      <w:r>
        <w:t xml:space="preserve"> </w:t>
      </w:r>
    </w:p>
    <w:p w14:paraId="553B597B" w14:textId="60001FC1" w:rsidR="00C01F33" w:rsidRDefault="000C54EA" w:rsidP="00746D87">
      <w:pPr>
        <w:pStyle w:val="BodyText"/>
        <w:keepNext/>
      </w:pPr>
      <w:r>
        <w:t>In this contribution we discussed the re</w:t>
      </w:r>
      <w:r w:rsidRPr="000C54EA">
        <w:t>maining details of Rel-16 NR UE features</w:t>
      </w:r>
      <w:r>
        <w:t xml:space="preserve"> and make the following proposals</w:t>
      </w:r>
      <w:r w:rsidR="000D3372">
        <w:t>:</w:t>
      </w:r>
    </w:p>
    <w:p w14:paraId="5F8B7C37" w14:textId="77777777" w:rsidR="00086240" w:rsidRDefault="00032EFC">
      <w:pPr>
        <w:pStyle w:val="TOC1"/>
        <w:rPr>
          <w:rFonts w:asciiTheme="minorHAnsi" w:eastAsiaTheme="minorEastAsia" w:hAnsiTheme="minorHAnsi" w:cstheme="minorBidi"/>
          <w:b w:val="0"/>
          <w:sz w:val="22"/>
          <w:szCs w:val="22"/>
          <w:lang w:val="en-US" w:eastAsia="en-US"/>
        </w:rPr>
      </w:pPr>
      <w:r>
        <w:fldChar w:fldCharType="begin"/>
      </w:r>
      <w:r>
        <w:instrText xml:space="preserve"> TOC \n \h \z \t "Proposal,1" </w:instrText>
      </w:r>
      <w:r>
        <w:fldChar w:fldCharType="separate"/>
      </w:r>
      <w:hyperlink w:anchor="_Toc61905347" w:history="1">
        <w:r w:rsidR="00086240" w:rsidRPr="004B6AEC">
          <w:rPr>
            <w:rStyle w:val="Hyperlink"/>
            <w:rFonts w:eastAsia="SimSun"/>
            <w:lang w:val="en-US"/>
            <w14:scene3d>
              <w14:camera w14:prst="orthographicFront"/>
              <w14:lightRig w14:rig="threePt" w14:dir="t">
                <w14:rot w14:lat="0" w14:lon="0" w14:rev="0"/>
              </w14:lightRig>
            </w14:scene3d>
          </w:rPr>
          <w:t>Proposal 1</w:t>
        </w:r>
        <w:r w:rsidR="00086240">
          <w:rPr>
            <w:rFonts w:asciiTheme="minorHAnsi" w:eastAsiaTheme="minorEastAsia" w:hAnsiTheme="minorHAnsi" w:cstheme="minorBidi"/>
            <w:b w:val="0"/>
            <w:sz w:val="22"/>
            <w:szCs w:val="22"/>
            <w:lang w:val="en-US" w:eastAsia="en-US"/>
          </w:rPr>
          <w:tab/>
        </w:r>
        <w:r w:rsidR="00086240" w:rsidRPr="004B6AEC">
          <w:rPr>
            <w:rStyle w:val="Hyperlink"/>
            <w:rFonts w:eastAsia="SimSun"/>
            <w:lang w:val="en-US"/>
          </w:rPr>
          <w:t xml:space="preserve">The capability parameter </w:t>
        </w:r>
        <w:r w:rsidR="00086240" w:rsidRPr="004B6AEC">
          <w:rPr>
            <w:rStyle w:val="Hyperlink"/>
            <w:rFonts w:eastAsia="SimSun"/>
            <w:i/>
            <w:iCs/>
            <w:lang w:val="en-US"/>
          </w:rPr>
          <w:t>extRA-ResponseWindow-r16</w:t>
        </w:r>
        <w:r w:rsidR="00086240" w:rsidRPr="004B6AEC">
          <w:rPr>
            <w:rStyle w:val="Hyperlink"/>
            <w:rFonts w:eastAsia="SimSun"/>
            <w:lang w:val="en-US"/>
          </w:rPr>
          <w:t xml:space="preserve"> in TS 38.306 (corresponding to FG 10-2f) should be optional for UEs supporting FBE only (</w:t>
        </w:r>
        <w:r w:rsidR="00086240" w:rsidRPr="004B6AEC">
          <w:rPr>
            <w:rStyle w:val="Hyperlink"/>
            <w:rFonts w:eastAsia="SimSun"/>
            <w:i/>
            <w:iCs/>
            <w:lang w:val="en-US"/>
          </w:rPr>
          <w:t>ChannelAccessMode-r16</w:t>
        </w:r>
        <w:r w:rsidR="00086240" w:rsidRPr="004B6AEC">
          <w:rPr>
            <w:rStyle w:val="Hyperlink"/>
            <w:rFonts w:eastAsia="SimSun"/>
            <w:lang w:val="en-US"/>
          </w:rPr>
          <w:t xml:space="preserve"> ='</w:t>
        </w:r>
        <w:r w:rsidR="00086240" w:rsidRPr="004B6AEC">
          <w:rPr>
            <w:rStyle w:val="Hyperlink"/>
            <w:rFonts w:eastAsia="SimSun"/>
            <w:i/>
            <w:iCs/>
            <w:lang w:val="en-US"/>
          </w:rPr>
          <w:t>semistatic</w:t>
        </w:r>
        <w:r w:rsidR="00086240" w:rsidRPr="004B6AEC">
          <w:rPr>
            <w:rStyle w:val="Hyperlink"/>
            <w:rFonts w:eastAsia="SimSun"/>
            <w:lang w:val="en-US"/>
          </w:rPr>
          <w:t>'), i.e., UEs that do not also support LBE (</w:t>
        </w:r>
        <w:r w:rsidR="00086240" w:rsidRPr="004B6AEC">
          <w:rPr>
            <w:rStyle w:val="Hyperlink"/>
            <w:rFonts w:eastAsia="SimSun"/>
            <w:i/>
            <w:iCs/>
            <w:lang w:val="en-US"/>
          </w:rPr>
          <w:t>ChannelAccessMode-r16</w:t>
        </w:r>
        <w:r w:rsidR="00086240" w:rsidRPr="004B6AEC">
          <w:rPr>
            <w:rStyle w:val="Hyperlink"/>
            <w:rFonts w:eastAsia="SimSun"/>
            <w:lang w:val="en-US"/>
          </w:rPr>
          <w:t xml:space="preserve"> ='</w:t>
        </w:r>
        <w:r w:rsidR="00086240" w:rsidRPr="004B6AEC">
          <w:rPr>
            <w:rStyle w:val="Hyperlink"/>
            <w:rFonts w:eastAsia="SimSun"/>
            <w:i/>
            <w:iCs/>
            <w:lang w:val="en-US"/>
          </w:rPr>
          <w:t>dynamic</w:t>
        </w:r>
        <w:r w:rsidR="00086240" w:rsidRPr="004B6AEC">
          <w:rPr>
            <w:rStyle w:val="Hyperlink"/>
            <w:rFonts w:eastAsia="SimSun"/>
            <w:lang w:val="en-US"/>
          </w:rPr>
          <w:t>'). For UEs supporting only FBE, the capability should be optional for all of Scenarios A, B, C, D, and E listed in Annex B.3 of TS 38.300.</w:t>
        </w:r>
      </w:hyperlink>
    </w:p>
    <w:p w14:paraId="052924A6" w14:textId="77777777" w:rsidR="00086240" w:rsidRDefault="00086240">
      <w:pPr>
        <w:pStyle w:val="TOC1"/>
        <w:rPr>
          <w:rFonts w:asciiTheme="minorHAnsi" w:eastAsiaTheme="minorEastAsia" w:hAnsiTheme="minorHAnsi" w:cstheme="minorBidi"/>
          <w:b w:val="0"/>
          <w:sz w:val="22"/>
          <w:szCs w:val="22"/>
          <w:lang w:val="en-US" w:eastAsia="en-US"/>
        </w:rPr>
      </w:pPr>
      <w:hyperlink w:anchor="_Toc61905348" w:history="1">
        <w:r w:rsidRPr="004B6AEC">
          <w:rPr>
            <w:rStyle w:val="Hyperlink"/>
            <w:rFonts w:eastAsia="SimSun"/>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szCs w:val="22"/>
            <w:lang w:val="en-US" w:eastAsia="en-US"/>
          </w:rPr>
          <w:tab/>
        </w:r>
        <w:r w:rsidRPr="004B6AEC">
          <w:rPr>
            <w:rStyle w:val="Hyperlink"/>
            <w:rFonts w:eastAsia="SimSun"/>
            <w:lang w:val="en-US"/>
          </w:rPr>
          <w:t>Send an LS reply to RAN2 informing RAN2 of the recommendation in Proposal 1</w:t>
        </w:r>
      </w:hyperlink>
    </w:p>
    <w:p w14:paraId="166F9F8B" w14:textId="77777777" w:rsidR="00086240" w:rsidRDefault="00086240">
      <w:pPr>
        <w:pStyle w:val="TOC1"/>
        <w:rPr>
          <w:rFonts w:asciiTheme="minorHAnsi" w:eastAsiaTheme="minorEastAsia" w:hAnsiTheme="minorHAnsi" w:cstheme="minorBidi"/>
          <w:b w:val="0"/>
          <w:sz w:val="22"/>
          <w:szCs w:val="22"/>
          <w:lang w:val="en-US" w:eastAsia="en-US"/>
        </w:rPr>
      </w:pPr>
      <w:hyperlink w:anchor="_Toc61905349" w:history="1">
        <w:r w:rsidRPr="004B6AEC">
          <w:rPr>
            <w:rStyle w:val="Hyperlink"/>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szCs w:val="22"/>
            <w:lang w:val="en-US" w:eastAsia="en-US"/>
          </w:rPr>
          <w:tab/>
        </w:r>
        <w:r w:rsidRPr="004B6AEC">
          <w:rPr>
            <w:rStyle w:val="Hyperlink"/>
          </w:rPr>
          <w:t>Confirm the working assumption to introduce new UE features, replicating FG 11-2 a/c/d/e with FG 11-2f/g/h/i with restriction added for the non-aligned span case.</w:t>
        </w:r>
      </w:hyperlink>
    </w:p>
    <w:p w14:paraId="5348438E" w14:textId="77777777" w:rsidR="00086240" w:rsidRDefault="00086240">
      <w:pPr>
        <w:pStyle w:val="TOC1"/>
        <w:rPr>
          <w:rFonts w:asciiTheme="minorHAnsi" w:eastAsiaTheme="minorEastAsia" w:hAnsiTheme="minorHAnsi" w:cstheme="minorBidi"/>
          <w:b w:val="0"/>
          <w:sz w:val="22"/>
          <w:szCs w:val="22"/>
          <w:lang w:val="en-US" w:eastAsia="en-US"/>
        </w:rPr>
      </w:pPr>
      <w:hyperlink w:anchor="_Toc61905350" w:history="1">
        <w:r w:rsidRPr="004B6AEC">
          <w:rPr>
            <w:rStyle w:val="Hyperlink"/>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szCs w:val="22"/>
            <w:lang w:val="en-US" w:eastAsia="en-US"/>
          </w:rPr>
          <w:tab/>
        </w:r>
        <w:r w:rsidRPr="004B6AEC">
          <w:rPr>
            <w:rStyle w:val="Hyperlink"/>
          </w:rPr>
          <w:t>For FG 11-7b/9/9a and 12-2: the interpretation of these UE capabilities in case of cross-carrier operation are based on the support of this capability for the band of the scheduled/triggered/indicated cell only.</w:t>
        </w:r>
      </w:hyperlink>
    </w:p>
    <w:p w14:paraId="165470EF" w14:textId="77777777" w:rsidR="00086240" w:rsidRDefault="00086240">
      <w:pPr>
        <w:pStyle w:val="TOC1"/>
        <w:rPr>
          <w:rFonts w:asciiTheme="minorHAnsi" w:eastAsiaTheme="minorEastAsia" w:hAnsiTheme="minorHAnsi" w:cstheme="minorBidi"/>
          <w:b w:val="0"/>
          <w:sz w:val="22"/>
          <w:szCs w:val="22"/>
          <w:lang w:val="en-US" w:eastAsia="en-US"/>
        </w:rPr>
      </w:pPr>
      <w:hyperlink w:anchor="_Toc61905351" w:history="1">
        <w:r w:rsidRPr="004B6AEC">
          <w:rPr>
            <w:rStyle w:val="Hyperlink"/>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szCs w:val="22"/>
            <w:lang w:val="en-US" w:eastAsia="en-US"/>
          </w:rPr>
          <w:tab/>
        </w:r>
        <w:r w:rsidRPr="004B6AEC">
          <w:rPr>
            <w:rStyle w:val="Hyperlink"/>
          </w:rPr>
          <w:t>Resolve the relationship between FG 12-1 and 11-4/4a with the following: (a) Add one new FG, which mirrors FG11-4 but with component 7 removed; (b) FG12-1 is understood to cover all cancellation scenarios, including the cases involving two HARQ-ACK codebooks with two priority levels (see FG 11-4/4a); (c) Ask RAN2 to disable the existing FG11-4 (e.g., by setting dummy bit).</w:t>
        </w:r>
      </w:hyperlink>
    </w:p>
    <w:p w14:paraId="407D4C34" w14:textId="77777777" w:rsidR="00086240" w:rsidRDefault="00086240">
      <w:pPr>
        <w:pStyle w:val="TOC1"/>
        <w:rPr>
          <w:rFonts w:asciiTheme="minorHAnsi" w:eastAsiaTheme="minorEastAsia" w:hAnsiTheme="minorHAnsi" w:cstheme="minorBidi"/>
          <w:b w:val="0"/>
          <w:sz w:val="22"/>
          <w:szCs w:val="22"/>
          <w:lang w:val="en-US" w:eastAsia="en-US"/>
        </w:rPr>
      </w:pPr>
      <w:hyperlink w:anchor="_Toc61905352" w:history="1">
        <w:r w:rsidRPr="004B6AEC">
          <w:rPr>
            <w:rStyle w:val="Hyperlink"/>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szCs w:val="22"/>
            <w:lang w:val="en-US" w:eastAsia="en-US"/>
          </w:rPr>
          <w:tab/>
        </w:r>
        <w:r w:rsidRPr="004B6AEC">
          <w:rPr>
            <w:rStyle w:val="Hyperlink"/>
          </w:rPr>
          <w:t xml:space="preserve">For Rel16, introduce UE capability signalling to indicate which Interpretation of Interpretations 2 and 3 is supported for FG3-5b (i.e., </w:t>
        </w:r>
        <w:r w:rsidRPr="004B6AEC">
          <w:rPr>
            <w:rStyle w:val="Hyperlink"/>
            <w:i/>
            <w:iCs/>
          </w:rPr>
          <w:t>pdcch-MonitoringAnyOccasionsWithSpanGap</w:t>
        </w:r>
        <w:r w:rsidRPr="004B6AEC">
          <w:rPr>
            <w:rStyle w:val="Hyperlink"/>
          </w:rPr>
          <w:t xml:space="preserve">) support for cross-carrier scheduling between different SCS (i.e. </w:t>
        </w:r>
        <w:r w:rsidRPr="004B6AEC">
          <w:rPr>
            <w:rStyle w:val="Hyperlink"/>
            <w:i/>
            <w:iCs/>
          </w:rPr>
          <w:t>crossCarrierScheduling-OtherSCS</w:t>
        </w:r>
        <w:r w:rsidRPr="004B6AEC">
          <w:rPr>
            <w:rStyle w:val="Hyperlink"/>
          </w:rPr>
          <w:t>).</w:t>
        </w:r>
      </w:hyperlink>
    </w:p>
    <w:p w14:paraId="7FCF0893" w14:textId="21E13664" w:rsidR="000D3372" w:rsidRPr="00CE0424" w:rsidRDefault="00032EFC" w:rsidP="00EF7814">
      <w:pPr>
        <w:pStyle w:val="Proposal"/>
        <w:numPr>
          <w:ilvl w:val="0"/>
          <w:numId w:val="0"/>
        </w:numPr>
        <w:ind w:left="360" w:hanging="360"/>
      </w:pPr>
      <w:r>
        <w:fldChar w:fldCharType="end"/>
      </w:r>
    </w:p>
    <w:p w14:paraId="60E4A936" w14:textId="77777777" w:rsidR="00F507D1" w:rsidRPr="00CE0424" w:rsidRDefault="00F507D1" w:rsidP="00CE0424">
      <w:pPr>
        <w:pStyle w:val="Heading1"/>
      </w:pPr>
      <w:bookmarkStart w:id="32" w:name="_In-sequence_SDU_delivery"/>
      <w:bookmarkStart w:id="33" w:name="_Toc47741959"/>
      <w:bookmarkEnd w:id="32"/>
      <w:r w:rsidRPr="00CE0424">
        <w:t>References</w:t>
      </w:r>
      <w:bookmarkEnd w:id="33"/>
    </w:p>
    <w:p w14:paraId="25FB02E0" w14:textId="69665E59" w:rsidR="00C2670D" w:rsidRDefault="006650C8" w:rsidP="001277A4">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4" w:name="_Ref53746327"/>
      <w:r>
        <w:rPr>
          <w:rFonts w:ascii="Arial" w:eastAsiaTheme="minorHAnsi" w:hAnsi="Arial" w:cstheme="minorBidi"/>
          <w:lang w:val="en-US" w:eastAsia="zh-CN"/>
        </w:rPr>
        <w:t>R1-200</w:t>
      </w:r>
      <w:r w:rsidR="00B016AC">
        <w:rPr>
          <w:rFonts w:ascii="Arial" w:eastAsiaTheme="minorHAnsi" w:hAnsi="Arial" w:cstheme="minorBidi"/>
          <w:lang w:val="en-US" w:eastAsia="zh-CN"/>
        </w:rPr>
        <w:t>9585</w:t>
      </w:r>
      <w:r w:rsidR="00F953CE">
        <w:rPr>
          <w:rFonts w:ascii="Arial" w:eastAsiaTheme="minorHAnsi" w:hAnsi="Arial" w:cstheme="minorBidi"/>
          <w:lang w:val="en-US" w:eastAsia="zh-CN"/>
        </w:rPr>
        <w:t>, "</w:t>
      </w:r>
      <w:r w:rsidR="00EF544B" w:rsidRPr="00EF544B">
        <w:rPr>
          <w:rFonts w:ascii="Arial" w:eastAsiaTheme="minorHAnsi" w:hAnsi="Arial" w:cstheme="minorBidi"/>
          <w:lang w:val="en-US" w:eastAsia="zh-CN"/>
        </w:rPr>
        <w:t>Updated RAN1 UE features list for Rel-16 NR</w:t>
      </w:r>
      <w:r w:rsidR="00F953CE">
        <w:rPr>
          <w:rFonts w:ascii="Arial" w:eastAsiaTheme="minorHAnsi" w:hAnsi="Arial" w:cstheme="minorBidi"/>
          <w:lang w:val="en-US" w:eastAsia="zh-CN"/>
        </w:rPr>
        <w:t>"</w:t>
      </w:r>
      <w:r w:rsidR="00EF544B">
        <w:rPr>
          <w:rFonts w:ascii="Arial" w:eastAsiaTheme="minorHAnsi" w:hAnsi="Arial" w:cstheme="minorBidi"/>
          <w:lang w:val="en-US" w:eastAsia="zh-CN"/>
        </w:rPr>
        <w:t>,</w:t>
      </w:r>
      <w:r w:rsidR="00F953CE">
        <w:rPr>
          <w:rFonts w:ascii="Arial" w:eastAsiaTheme="minorHAnsi" w:hAnsi="Arial" w:cstheme="minorBidi"/>
          <w:lang w:val="en-US" w:eastAsia="zh-CN"/>
        </w:rPr>
        <w:t xml:space="preserve"> </w:t>
      </w:r>
      <w:r w:rsidR="007F6668" w:rsidRPr="007F6668">
        <w:rPr>
          <w:rFonts w:ascii="Arial" w:eastAsiaTheme="minorHAnsi" w:hAnsi="Arial" w:cstheme="minorBidi"/>
          <w:lang w:val="en-US" w:eastAsia="zh-CN"/>
        </w:rPr>
        <w:t>Moderators (AT&amp;T, NTT DOCOMO, INC.)</w:t>
      </w:r>
      <w:r w:rsidR="00F953CE">
        <w:rPr>
          <w:rFonts w:ascii="Arial" w:eastAsiaTheme="minorHAnsi" w:hAnsi="Arial" w:cstheme="minorBidi"/>
          <w:lang w:val="en-US" w:eastAsia="zh-CN"/>
        </w:rPr>
        <w:t>, RAN1#10</w:t>
      </w:r>
      <w:r w:rsidR="00E21B15">
        <w:rPr>
          <w:rFonts w:ascii="Arial" w:eastAsiaTheme="minorHAnsi" w:hAnsi="Arial" w:cstheme="minorBidi"/>
          <w:lang w:val="en-US" w:eastAsia="zh-CN"/>
        </w:rPr>
        <w:t>3</w:t>
      </w:r>
      <w:r w:rsidR="00F953CE">
        <w:rPr>
          <w:rFonts w:ascii="Arial" w:eastAsiaTheme="minorHAnsi" w:hAnsi="Arial" w:cstheme="minorBidi"/>
          <w:lang w:val="en-US" w:eastAsia="zh-CN"/>
        </w:rPr>
        <w:t xml:space="preserve">-e, </w:t>
      </w:r>
      <w:r w:rsidR="00E21B15">
        <w:rPr>
          <w:rFonts w:ascii="Arial" w:eastAsiaTheme="minorHAnsi" w:hAnsi="Arial" w:cstheme="minorBidi"/>
          <w:lang w:val="en-US" w:eastAsia="zh-CN"/>
        </w:rPr>
        <w:t>November</w:t>
      </w:r>
      <w:r w:rsidR="00F953CE">
        <w:rPr>
          <w:rFonts w:ascii="Arial" w:eastAsiaTheme="minorHAnsi" w:hAnsi="Arial" w:cstheme="minorBidi"/>
          <w:lang w:val="en-US" w:eastAsia="zh-CN"/>
        </w:rPr>
        <w:t xml:space="preserve"> 2020.</w:t>
      </w:r>
      <w:bookmarkEnd w:id="34"/>
    </w:p>
    <w:p w14:paraId="173E5AD2" w14:textId="699FB869" w:rsidR="00B11003" w:rsidRDefault="00B11003" w:rsidP="001277A4">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5" w:name="_Ref61627642"/>
      <w:r>
        <w:rPr>
          <w:rFonts w:ascii="Arial" w:eastAsiaTheme="minorHAnsi" w:hAnsi="Arial" w:cstheme="minorBidi"/>
          <w:lang w:val="en-US" w:eastAsia="zh-CN"/>
        </w:rPr>
        <w:t>R1-2100019, "</w:t>
      </w:r>
      <w:r w:rsidRPr="00B11003">
        <w:t xml:space="preserve"> </w:t>
      </w:r>
      <w:r w:rsidRPr="00B11003">
        <w:rPr>
          <w:rFonts w:ascii="Arial" w:eastAsiaTheme="minorHAnsi" w:hAnsi="Arial" w:cstheme="minorBidi"/>
          <w:lang w:val="en-US" w:eastAsia="zh-CN"/>
        </w:rPr>
        <w:t>LS on capability for extended RAR window monitoring</w:t>
      </w:r>
      <w:r>
        <w:rPr>
          <w:rFonts w:ascii="Arial" w:eastAsiaTheme="minorHAnsi" w:hAnsi="Arial" w:cstheme="minorBidi"/>
          <w:lang w:val="en-US" w:eastAsia="zh-CN"/>
        </w:rPr>
        <w:t>," RAN1#104-e, January 2021.</w:t>
      </w:r>
      <w:bookmarkEnd w:id="35"/>
    </w:p>
    <w:p w14:paraId="2F727D1F" w14:textId="548053D9" w:rsidR="00E626A2" w:rsidRPr="00AA71AE" w:rsidRDefault="00E626A2" w:rsidP="001277A4">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bookmarkStart w:id="36" w:name="_Ref61629524"/>
      <w:r w:rsidRPr="00E626A2">
        <w:rPr>
          <w:rFonts w:ascii="Arial" w:eastAsiaTheme="minorHAnsi" w:hAnsi="Arial" w:cstheme="minorBidi"/>
          <w:lang w:val="en-US" w:eastAsia="zh-CN"/>
        </w:rPr>
        <w:t>R1-2007136</w:t>
      </w:r>
      <w:r>
        <w:rPr>
          <w:rFonts w:ascii="Arial" w:eastAsiaTheme="minorHAnsi" w:hAnsi="Arial" w:cstheme="minorBidi"/>
          <w:lang w:val="en-US" w:eastAsia="zh-CN"/>
        </w:rPr>
        <w:t>, "</w:t>
      </w:r>
      <w:r w:rsidRPr="00E626A2">
        <w:t xml:space="preserve"> </w:t>
      </w:r>
      <w:r w:rsidRPr="00E626A2">
        <w:rPr>
          <w:rFonts w:ascii="Arial" w:eastAsiaTheme="minorHAnsi" w:hAnsi="Arial" w:cstheme="minorBidi"/>
          <w:lang w:val="en-US" w:eastAsia="zh-CN"/>
        </w:rPr>
        <w:t>LS on updated Rel-16 RAN1 UE features lists for NR</w:t>
      </w:r>
      <w:r>
        <w:rPr>
          <w:rFonts w:ascii="Arial" w:eastAsiaTheme="minorHAnsi" w:hAnsi="Arial" w:cstheme="minorBidi"/>
          <w:lang w:val="en-US" w:eastAsia="zh-CN"/>
        </w:rPr>
        <w:t>," RAN1#102-e, August 2020.</w:t>
      </w:r>
      <w:bookmarkEnd w:id="36"/>
    </w:p>
    <w:p w14:paraId="129292CF" w14:textId="77777777" w:rsidR="00FD2088" w:rsidRDefault="00C820FE" w:rsidP="00FD2088">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r>
        <w:rPr>
          <w:rFonts w:ascii="Arial" w:eastAsiaTheme="minorHAnsi" w:hAnsi="Arial" w:cstheme="minorBidi"/>
          <w:lang w:val="en-US" w:eastAsia="zh-CN"/>
        </w:rPr>
        <w:t xml:space="preserve">Email discussion thread </w:t>
      </w:r>
      <w:r w:rsidRPr="00C820FE">
        <w:rPr>
          <w:rFonts w:ascii="Arial" w:eastAsiaTheme="minorHAnsi" w:hAnsi="Arial" w:cstheme="minorBidi"/>
          <w:lang w:val="en-US" w:eastAsia="zh-CN"/>
        </w:rPr>
        <w:t>[103-e-NR-7.1CRs-01] Ambiguity Issues for UE Features with</w:t>
      </w:r>
      <w:r>
        <w:rPr>
          <w:rFonts w:ascii="Arial" w:eastAsiaTheme="minorHAnsi" w:hAnsi="Arial" w:cstheme="minorBidi"/>
          <w:lang w:val="en-US" w:eastAsia="zh-CN"/>
        </w:rPr>
        <w:t xml:space="preserve"> </w:t>
      </w:r>
      <w:r w:rsidRPr="00C820FE">
        <w:rPr>
          <w:rFonts w:ascii="Arial" w:eastAsiaTheme="minorHAnsi" w:hAnsi="Arial" w:cstheme="minorBidi"/>
          <w:lang w:val="en-US" w:eastAsia="zh-CN"/>
        </w:rPr>
        <w:t>Cross-Carrier Operation (Rel-15)</w:t>
      </w:r>
      <w:r>
        <w:rPr>
          <w:rFonts w:ascii="Arial" w:eastAsiaTheme="minorHAnsi" w:hAnsi="Arial" w:cstheme="minorBidi"/>
          <w:lang w:val="en-US" w:eastAsia="zh-CN"/>
        </w:rPr>
        <w:t>, November 2020.</w:t>
      </w:r>
    </w:p>
    <w:p w14:paraId="42C8AC82" w14:textId="28A772E1" w:rsidR="00940375" w:rsidRPr="00AA71AE" w:rsidRDefault="00FD2088" w:rsidP="00FD2088">
      <w:pPr>
        <w:numPr>
          <w:ilvl w:val="0"/>
          <w:numId w:val="1"/>
        </w:numPr>
        <w:overflowPunct/>
        <w:autoSpaceDE/>
        <w:autoSpaceDN/>
        <w:adjustRightInd/>
        <w:spacing w:after="120" w:line="259" w:lineRule="auto"/>
        <w:jc w:val="both"/>
        <w:textAlignment w:val="auto"/>
        <w:rPr>
          <w:rFonts w:ascii="Arial" w:eastAsiaTheme="minorHAnsi" w:hAnsi="Arial" w:cstheme="minorBidi"/>
          <w:lang w:val="en-US" w:eastAsia="zh-CN"/>
        </w:rPr>
      </w:pPr>
      <w:r w:rsidRPr="00FD2088">
        <w:rPr>
          <w:rFonts w:ascii="Arial" w:eastAsiaTheme="minorHAnsi" w:hAnsi="Arial" w:cstheme="minorBidi"/>
          <w:lang w:val="en-US" w:eastAsia="zh-CN"/>
        </w:rPr>
        <w:t>R1-2008423</w:t>
      </w:r>
      <w:r w:rsidR="00817698">
        <w:rPr>
          <w:rFonts w:ascii="Arial" w:eastAsiaTheme="minorHAnsi" w:hAnsi="Arial" w:cstheme="minorBidi"/>
          <w:lang w:val="en-US" w:eastAsia="zh-CN"/>
        </w:rPr>
        <w:t>, “</w:t>
      </w:r>
      <w:r w:rsidRPr="00FD2088">
        <w:rPr>
          <w:rFonts w:ascii="Arial" w:eastAsiaTheme="minorHAnsi" w:hAnsi="Arial" w:cstheme="minorBidi"/>
          <w:lang w:val="en-US" w:eastAsia="zh-CN"/>
        </w:rPr>
        <w:t>Clarification of FG3-5b with Cross Carrier Operation</w:t>
      </w:r>
      <w:r w:rsidR="00817698">
        <w:rPr>
          <w:rFonts w:ascii="Arial" w:eastAsiaTheme="minorHAnsi" w:hAnsi="Arial" w:cstheme="minorBidi"/>
          <w:lang w:val="en-US" w:eastAsia="zh-CN"/>
        </w:rPr>
        <w:t xml:space="preserve">”, </w:t>
      </w:r>
      <w:r w:rsidRPr="00FD2088">
        <w:rPr>
          <w:rFonts w:ascii="Arial" w:eastAsiaTheme="minorHAnsi" w:hAnsi="Arial" w:cstheme="minorBidi"/>
          <w:lang w:val="en-US" w:eastAsia="zh-CN"/>
        </w:rPr>
        <w:t>Apple</w:t>
      </w:r>
      <w:r w:rsidR="00817698">
        <w:rPr>
          <w:rFonts w:ascii="Arial" w:eastAsiaTheme="minorHAnsi" w:hAnsi="Arial" w:cstheme="minorBidi"/>
          <w:lang w:val="en-US" w:eastAsia="zh-CN"/>
        </w:rPr>
        <w:t>, RAN1#103-e, November 2020.</w:t>
      </w:r>
    </w:p>
    <w:p w14:paraId="75A7DED9"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BA7BD" w14:textId="77777777" w:rsidR="00870D94" w:rsidRDefault="00870D94">
      <w:r>
        <w:separator/>
      </w:r>
    </w:p>
  </w:endnote>
  <w:endnote w:type="continuationSeparator" w:id="0">
    <w:p w14:paraId="61CB15F1" w14:textId="77777777" w:rsidR="00870D94" w:rsidRDefault="00870D94">
      <w:r>
        <w:continuationSeparator/>
      </w:r>
    </w:p>
  </w:endnote>
  <w:endnote w:type="continuationNotice" w:id="1">
    <w:p w14:paraId="23D17700" w14:textId="77777777" w:rsidR="00870D94" w:rsidRDefault="00870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516B5" w14:textId="77777777" w:rsidR="00184DDC" w:rsidRDefault="00184D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186A0" w14:textId="77777777" w:rsidR="00AB1DBB" w:rsidRDefault="00AB1D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7C2F" w14:textId="77777777" w:rsidR="00870D94" w:rsidRDefault="00870D94">
      <w:r>
        <w:separator/>
      </w:r>
    </w:p>
  </w:footnote>
  <w:footnote w:type="continuationSeparator" w:id="0">
    <w:p w14:paraId="75932E8E" w14:textId="77777777" w:rsidR="00870D94" w:rsidRDefault="00870D94">
      <w:r>
        <w:continuationSeparator/>
      </w:r>
    </w:p>
  </w:footnote>
  <w:footnote w:type="continuationNotice" w:id="1">
    <w:p w14:paraId="5718B270" w14:textId="77777777" w:rsidR="00870D94" w:rsidRDefault="00870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BDEB" w14:textId="77777777" w:rsidR="00184DDC" w:rsidRDefault="00184D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E1C95" w14:textId="77777777" w:rsidR="00AB1DBB" w:rsidRDefault="00AB1D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6F07DC"/>
    <w:multiLevelType w:val="hybridMultilevel"/>
    <w:tmpl w:val="4C864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7942E4"/>
    <w:multiLevelType w:val="hybridMultilevel"/>
    <w:tmpl w:val="C1404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E651B"/>
    <w:multiLevelType w:val="multilevel"/>
    <w:tmpl w:val="97A03D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7F2127"/>
    <w:multiLevelType w:val="hybridMultilevel"/>
    <w:tmpl w:val="3B2431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59C3E1C"/>
    <w:multiLevelType w:val="multilevel"/>
    <w:tmpl w:val="97A03D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A869E0"/>
    <w:multiLevelType w:val="hybridMultilevel"/>
    <w:tmpl w:val="33AEE25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6A94763F"/>
    <w:multiLevelType w:val="hybridMultilevel"/>
    <w:tmpl w:val="4D622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EA2D6E"/>
    <w:multiLevelType w:val="hybridMultilevel"/>
    <w:tmpl w:val="2CA66194"/>
    <w:lvl w:ilvl="0" w:tplc="93C6BEF4">
      <w:start w:val="1"/>
      <w:numFmt w:val="decimal"/>
      <w:lvlText w:val="%1."/>
      <w:lvlJc w:val="left"/>
      <w:pPr>
        <w:ind w:left="720" w:hanging="360"/>
      </w:pPr>
      <w:rPr>
        <w:rFonts w:eastAsia="SimSun" w:cs="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0"/>
  </w:num>
  <w:num w:numId="7">
    <w:abstractNumId w:val="6"/>
  </w:num>
  <w:num w:numId="8">
    <w:abstractNumId w:val="9"/>
  </w:num>
  <w:num w:numId="9">
    <w:abstractNumId w:val="3"/>
  </w:num>
  <w:num w:numId="10">
    <w:abstractNumId w:val="26"/>
  </w:num>
  <w:num w:numId="11">
    <w:abstractNumId w:val="11"/>
  </w:num>
  <w:num w:numId="12">
    <w:abstractNumId w:val="23"/>
  </w:num>
  <w:num w:numId="13">
    <w:abstractNumId w:val="21"/>
  </w:num>
  <w:num w:numId="14">
    <w:abstractNumId w:val="4"/>
  </w:num>
  <w:num w:numId="15">
    <w:abstractNumId w:val="14"/>
  </w:num>
  <w:num w:numId="16">
    <w:abstractNumId w:val="8"/>
  </w:num>
  <w:num w:numId="17">
    <w:abstractNumId w:val="24"/>
  </w:num>
  <w:num w:numId="18">
    <w:abstractNumId w:val="22"/>
  </w:num>
  <w:num w:numId="19">
    <w:abstractNumId w:val="13"/>
    <w:lvlOverride w:ilvl="0">
      <w:startOverride w:val="1"/>
    </w:lvlOverride>
  </w:num>
  <w:num w:numId="20">
    <w:abstractNumId w:val="16"/>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
  </w:num>
  <w:num w:numId="29">
    <w:abstractNumId w:val="15"/>
  </w:num>
  <w:num w:numId="30">
    <w:abstractNumId w:val="5"/>
  </w:num>
  <w:num w:numId="31">
    <w:abstractNumId w:val="2"/>
  </w:num>
  <w:num w:numId="32">
    <w:abstractNumId w:val="12"/>
  </w:num>
  <w:num w:numId="33">
    <w:abstractNumId w:val="7"/>
  </w:num>
  <w:num w:numId="34">
    <w:abstractNumId w:val="25"/>
  </w:num>
  <w:num w:numId="35">
    <w:abstractNumId w:val="10"/>
  </w:num>
  <w:num w:numId="3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BF9"/>
    <w:rsid w:val="000006E1"/>
    <w:rsid w:val="000014A7"/>
    <w:rsid w:val="000021F4"/>
    <w:rsid w:val="00002A37"/>
    <w:rsid w:val="0000564C"/>
    <w:rsid w:val="00006446"/>
    <w:rsid w:val="00006896"/>
    <w:rsid w:val="00007569"/>
    <w:rsid w:val="00007CDC"/>
    <w:rsid w:val="00011B28"/>
    <w:rsid w:val="00013769"/>
    <w:rsid w:val="00015D15"/>
    <w:rsid w:val="00016FB9"/>
    <w:rsid w:val="00016FE8"/>
    <w:rsid w:val="00021B1D"/>
    <w:rsid w:val="000222E1"/>
    <w:rsid w:val="000237F2"/>
    <w:rsid w:val="00025143"/>
    <w:rsid w:val="0002564D"/>
    <w:rsid w:val="00025ECA"/>
    <w:rsid w:val="0003098E"/>
    <w:rsid w:val="000325B8"/>
    <w:rsid w:val="00032EFC"/>
    <w:rsid w:val="00034C15"/>
    <w:rsid w:val="00036BA1"/>
    <w:rsid w:val="00040CCE"/>
    <w:rsid w:val="000422E2"/>
    <w:rsid w:val="00042F22"/>
    <w:rsid w:val="000437E1"/>
    <w:rsid w:val="000444EF"/>
    <w:rsid w:val="00052A07"/>
    <w:rsid w:val="000534E3"/>
    <w:rsid w:val="00053521"/>
    <w:rsid w:val="0005606A"/>
    <w:rsid w:val="00057117"/>
    <w:rsid w:val="000616E7"/>
    <w:rsid w:val="0006270D"/>
    <w:rsid w:val="0006487E"/>
    <w:rsid w:val="00065E1A"/>
    <w:rsid w:val="00073CC5"/>
    <w:rsid w:val="00077E5F"/>
    <w:rsid w:val="0008036A"/>
    <w:rsid w:val="00081AE6"/>
    <w:rsid w:val="00083665"/>
    <w:rsid w:val="000855EB"/>
    <w:rsid w:val="00085B52"/>
    <w:rsid w:val="00086240"/>
    <w:rsid w:val="000866F2"/>
    <w:rsid w:val="0009009F"/>
    <w:rsid w:val="00091250"/>
    <w:rsid w:val="00091557"/>
    <w:rsid w:val="000924C1"/>
    <w:rsid w:val="000924F0"/>
    <w:rsid w:val="00092660"/>
    <w:rsid w:val="00093474"/>
    <w:rsid w:val="00093859"/>
    <w:rsid w:val="00094470"/>
    <w:rsid w:val="0009510F"/>
    <w:rsid w:val="00095423"/>
    <w:rsid w:val="00097436"/>
    <w:rsid w:val="000A1B7B"/>
    <w:rsid w:val="000A1E9D"/>
    <w:rsid w:val="000A56F2"/>
    <w:rsid w:val="000B2719"/>
    <w:rsid w:val="000B3A8F"/>
    <w:rsid w:val="000B45B6"/>
    <w:rsid w:val="000B4AB9"/>
    <w:rsid w:val="000B58C3"/>
    <w:rsid w:val="000B61E9"/>
    <w:rsid w:val="000B753B"/>
    <w:rsid w:val="000C165A"/>
    <w:rsid w:val="000C2E19"/>
    <w:rsid w:val="000C3615"/>
    <w:rsid w:val="000C54EA"/>
    <w:rsid w:val="000C749C"/>
    <w:rsid w:val="000D0709"/>
    <w:rsid w:val="000D0D07"/>
    <w:rsid w:val="000D25DA"/>
    <w:rsid w:val="000D3372"/>
    <w:rsid w:val="000D4797"/>
    <w:rsid w:val="000D4EF0"/>
    <w:rsid w:val="000D5894"/>
    <w:rsid w:val="000D6B1C"/>
    <w:rsid w:val="000E0527"/>
    <w:rsid w:val="000E17F8"/>
    <w:rsid w:val="000E1E92"/>
    <w:rsid w:val="000E6472"/>
    <w:rsid w:val="000F06D6"/>
    <w:rsid w:val="000F0EB1"/>
    <w:rsid w:val="000F1106"/>
    <w:rsid w:val="000F3BE9"/>
    <w:rsid w:val="000F3F6C"/>
    <w:rsid w:val="000F4BF7"/>
    <w:rsid w:val="000F6DF3"/>
    <w:rsid w:val="001005FF"/>
    <w:rsid w:val="00103C79"/>
    <w:rsid w:val="001042E9"/>
    <w:rsid w:val="00104586"/>
    <w:rsid w:val="001062FB"/>
    <w:rsid w:val="001063E6"/>
    <w:rsid w:val="001070CC"/>
    <w:rsid w:val="0011132B"/>
    <w:rsid w:val="001119F4"/>
    <w:rsid w:val="001138B5"/>
    <w:rsid w:val="00113CF4"/>
    <w:rsid w:val="001153EA"/>
    <w:rsid w:val="00115643"/>
    <w:rsid w:val="001159B8"/>
    <w:rsid w:val="00116765"/>
    <w:rsid w:val="00117C10"/>
    <w:rsid w:val="00120F0D"/>
    <w:rsid w:val="0012146D"/>
    <w:rsid w:val="001219F5"/>
    <w:rsid w:val="00121A20"/>
    <w:rsid w:val="0012377F"/>
    <w:rsid w:val="00124314"/>
    <w:rsid w:val="00126B4A"/>
    <w:rsid w:val="001277A4"/>
    <w:rsid w:val="00132FD0"/>
    <w:rsid w:val="001344C0"/>
    <w:rsid w:val="001346FA"/>
    <w:rsid w:val="00134E49"/>
    <w:rsid w:val="00135252"/>
    <w:rsid w:val="00135DA7"/>
    <w:rsid w:val="001361A0"/>
    <w:rsid w:val="00137AB5"/>
    <w:rsid w:val="00137F0B"/>
    <w:rsid w:val="00142AC8"/>
    <w:rsid w:val="00142EFB"/>
    <w:rsid w:val="001454FF"/>
    <w:rsid w:val="001468BB"/>
    <w:rsid w:val="00151E23"/>
    <w:rsid w:val="001526E0"/>
    <w:rsid w:val="001551B5"/>
    <w:rsid w:val="001553B0"/>
    <w:rsid w:val="00155A2A"/>
    <w:rsid w:val="00160D9C"/>
    <w:rsid w:val="0016373D"/>
    <w:rsid w:val="00164272"/>
    <w:rsid w:val="0016530E"/>
    <w:rsid w:val="001659C1"/>
    <w:rsid w:val="001664B4"/>
    <w:rsid w:val="00173A8E"/>
    <w:rsid w:val="00174EF9"/>
    <w:rsid w:val="0017502C"/>
    <w:rsid w:val="001753E7"/>
    <w:rsid w:val="0017726D"/>
    <w:rsid w:val="0018143F"/>
    <w:rsid w:val="00181FF8"/>
    <w:rsid w:val="00184DDC"/>
    <w:rsid w:val="00185014"/>
    <w:rsid w:val="0018600C"/>
    <w:rsid w:val="00186AF5"/>
    <w:rsid w:val="00187310"/>
    <w:rsid w:val="00190AC1"/>
    <w:rsid w:val="00192216"/>
    <w:rsid w:val="0019341A"/>
    <w:rsid w:val="00197DF9"/>
    <w:rsid w:val="001A1987"/>
    <w:rsid w:val="001A2564"/>
    <w:rsid w:val="001A6173"/>
    <w:rsid w:val="001A6CBA"/>
    <w:rsid w:val="001B0D97"/>
    <w:rsid w:val="001B5A5D"/>
    <w:rsid w:val="001C013C"/>
    <w:rsid w:val="001C1CE5"/>
    <w:rsid w:val="001C352B"/>
    <w:rsid w:val="001C3D2A"/>
    <w:rsid w:val="001C5668"/>
    <w:rsid w:val="001D51BA"/>
    <w:rsid w:val="001D53E7"/>
    <w:rsid w:val="001D6342"/>
    <w:rsid w:val="001D6D53"/>
    <w:rsid w:val="001E0687"/>
    <w:rsid w:val="001E32CB"/>
    <w:rsid w:val="001E58E2"/>
    <w:rsid w:val="001E7AED"/>
    <w:rsid w:val="001F32DB"/>
    <w:rsid w:val="001F3916"/>
    <w:rsid w:val="001F54C5"/>
    <w:rsid w:val="001F662C"/>
    <w:rsid w:val="001F7074"/>
    <w:rsid w:val="00200245"/>
    <w:rsid w:val="00200490"/>
    <w:rsid w:val="00201F3A"/>
    <w:rsid w:val="00203206"/>
    <w:rsid w:val="0020349A"/>
    <w:rsid w:val="00203604"/>
    <w:rsid w:val="00203A61"/>
    <w:rsid w:val="00203F96"/>
    <w:rsid w:val="002069B2"/>
    <w:rsid w:val="00207FA3"/>
    <w:rsid w:val="00213674"/>
    <w:rsid w:val="0021429B"/>
    <w:rsid w:val="00214DA8"/>
    <w:rsid w:val="00215423"/>
    <w:rsid w:val="002158FA"/>
    <w:rsid w:val="00216B18"/>
    <w:rsid w:val="00220600"/>
    <w:rsid w:val="002224DB"/>
    <w:rsid w:val="00223DEF"/>
    <w:rsid w:val="00223FCB"/>
    <w:rsid w:val="0022461B"/>
    <w:rsid w:val="00224B24"/>
    <w:rsid w:val="002252C3"/>
    <w:rsid w:val="00225C54"/>
    <w:rsid w:val="002302B2"/>
    <w:rsid w:val="00230765"/>
    <w:rsid w:val="00230D18"/>
    <w:rsid w:val="00230EEB"/>
    <w:rsid w:val="002319E4"/>
    <w:rsid w:val="00235632"/>
    <w:rsid w:val="00235872"/>
    <w:rsid w:val="0023655B"/>
    <w:rsid w:val="00241559"/>
    <w:rsid w:val="002435B3"/>
    <w:rsid w:val="002448FC"/>
    <w:rsid w:val="002458EB"/>
    <w:rsid w:val="002500C8"/>
    <w:rsid w:val="00257543"/>
    <w:rsid w:val="0026012A"/>
    <w:rsid w:val="002617E7"/>
    <w:rsid w:val="00261BB9"/>
    <w:rsid w:val="00261C2B"/>
    <w:rsid w:val="00264228"/>
    <w:rsid w:val="00264334"/>
    <w:rsid w:val="0026473E"/>
    <w:rsid w:val="00264EAA"/>
    <w:rsid w:val="002656FC"/>
    <w:rsid w:val="00266214"/>
    <w:rsid w:val="0026660E"/>
    <w:rsid w:val="00267C83"/>
    <w:rsid w:val="0027144F"/>
    <w:rsid w:val="00271813"/>
    <w:rsid w:val="00271F3A"/>
    <w:rsid w:val="00273278"/>
    <w:rsid w:val="002737F4"/>
    <w:rsid w:val="00274A5D"/>
    <w:rsid w:val="00274EFC"/>
    <w:rsid w:val="00276A9F"/>
    <w:rsid w:val="002805F5"/>
    <w:rsid w:val="00280751"/>
    <w:rsid w:val="0028280A"/>
    <w:rsid w:val="00285FA2"/>
    <w:rsid w:val="0028692A"/>
    <w:rsid w:val="00286ACD"/>
    <w:rsid w:val="00287838"/>
    <w:rsid w:val="00287FBA"/>
    <w:rsid w:val="002907B5"/>
    <w:rsid w:val="00292EB7"/>
    <w:rsid w:val="00296227"/>
    <w:rsid w:val="00296F44"/>
    <w:rsid w:val="0029777D"/>
    <w:rsid w:val="002A034D"/>
    <w:rsid w:val="002A055E"/>
    <w:rsid w:val="002A1D4E"/>
    <w:rsid w:val="002A2869"/>
    <w:rsid w:val="002A30FA"/>
    <w:rsid w:val="002A3237"/>
    <w:rsid w:val="002A7E0E"/>
    <w:rsid w:val="002B1786"/>
    <w:rsid w:val="002B24D6"/>
    <w:rsid w:val="002C325F"/>
    <w:rsid w:val="002C41E6"/>
    <w:rsid w:val="002C69A9"/>
    <w:rsid w:val="002C6C93"/>
    <w:rsid w:val="002D071A"/>
    <w:rsid w:val="002D2B65"/>
    <w:rsid w:val="002D34B2"/>
    <w:rsid w:val="002D48B0"/>
    <w:rsid w:val="002D5B37"/>
    <w:rsid w:val="002D5FE9"/>
    <w:rsid w:val="002D607F"/>
    <w:rsid w:val="002D7637"/>
    <w:rsid w:val="002E17F2"/>
    <w:rsid w:val="002E3C0B"/>
    <w:rsid w:val="002E7CAE"/>
    <w:rsid w:val="002F13E4"/>
    <w:rsid w:val="002F2771"/>
    <w:rsid w:val="002F27B6"/>
    <w:rsid w:val="002F3559"/>
    <w:rsid w:val="002F37A9"/>
    <w:rsid w:val="00301CE6"/>
    <w:rsid w:val="00301FFA"/>
    <w:rsid w:val="0030256B"/>
    <w:rsid w:val="0030501F"/>
    <w:rsid w:val="00307878"/>
    <w:rsid w:val="00307BA1"/>
    <w:rsid w:val="00307D0D"/>
    <w:rsid w:val="00311702"/>
    <w:rsid w:val="00311E82"/>
    <w:rsid w:val="00312055"/>
    <w:rsid w:val="00313FD6"/>
    <w:rsid w:val="003143BD"/>
    <w:rsid w:val="00315363"/>
    <w:rsid w:val="003203ED"/>
    <w:rsid w:val="00322C9F"/>
    <w:rsid w:val="00324D23"/>
    <w:rsid w:val="00326F06"/>
    <w:rsid w:val="00331751"/>
    <w:rsid w:val="00334579"/>
    <w:rsid w:val="00335175"/>
    <w:rsid w:val="00335858"/>
    <w:rsid w:val="003363BE"/>
    <w:rsid w:val="00336BAA"/>
    <w:rsid w:val="00336BDA"/>
    <w:rsid w:val="003413D3"/>
    <w:rsid w:val="00341438"/>
    <w:rsid w:val="00342BD7"/>
    <w:rsid w:val="00343ECA"/>
    <w:rsid w:val="00346B72"/>
    <w:rsid w:val="00346DB5"/>
    <w:rsid w:val="003477B1"/>
    <w:rsid w:val="00351A7E"/>
    <w:rsid w:val="00352629"/>
    <w:rsid w:val="0035560D"/>
    <w:rsid w:val="00357380"/>
    <w:rsid w:val="003602D9"/>
    <w:rsid w:val="003604CE"/>
    <w:rsid w:val="00360C88"/>
    <w:rsid w:val="00370E47"/>
    <w:rsid w:val="003728DF"/>
    <w:rsid w:val="003742AC"/>
    <w:rsid w:val="00377CE1"/>
    <w:rsid w:val="00381BDD"/>
    <w:rsid w:val="00381FFF"/>
    <w:rsid w:val="003825FD"/>
    <w:rsid w:val="00385BF0"/>
    <w:rsid w:val="00391BBA"/>
    <w:rsid w:val="00393199"/>
    <w:rsid w:val="003939FF"/>
    <w:rsid w:val="00396B45"/>
    <w:rsid w:val="00396D3F"/>
    <w:rsid w:val="003A2223"/>
    <w:rsid w:val="003A2A0F"/>
    <w:rsid w:val="003A439B"/>
    <w:rsid w:val="003A45A1"/>
    <w:rsid w:val="003A5B0A"/>
    <w:rsid w:val="003A602D"/>
    <w:rsid w:val="003A6BAC"/>
    <w:rsid w:val="003A70A4"/>
    <w:rsid w:val="003A7EF3"/>
    <w:rsid w:val="003B03F1"/>
    <w:rsid w:val="003B159C"/>
    <w:rsid w:val="003B28B4"/>
    <w:rsid w:val="003B2FA6"/>
    <w:rsid w:val="003B369F"/>
    <w:rsid w:val="003B36A3"/>
    <w:rsid w:val="003B56A5"/>
    <w:rsid w:val="003B59B6"/>
    <w:rsid w:val="003B64BB"/>
    <w:rsid w:val="003B7D64"/>
    <w:rsid w:val="003B7DA5"/>
    <w:rsid w:val="003B7FE5"/>
    <w:rsid w:val="003C11C8"/>
    <w:rsid w:val="003C2702"/>
    <w:rsid w:val="003C41E0"/>
    <w:rsid w:val="003C6650"/>
    <w:rsid w:val="003C7806"/>
    <w:rsid w:val="003C7F32"/>
    <w:rsid w:val="003D109F"/>
    <w:rsid w:val="003D2478"/>
    <w:rsid w:val="003D3C45"/>
    <w:rsid w:val="003D5B1F"/>
    <w:rsid w:val="003E0EF3"/>
    <w:rsid w:val="003E15FA"/>
    <w:rsid w:val="003E1668"/>
    <w:rsid w:val="003E55E4"/>
    <w:rsid w:val="003E74E3"/>
    <w:rsid w:val="003F05C7"/>
    <w:rsid w:val="003F0B33"/>
    <w:rsid w:val="003F2CD4"/>
    <w:rsid w:val="003F6BBE"/>
    <w:rsid w:val="004000E8"/>
    <w:rsid w:val="00402E2B"/>
    <w:rsid w:val="0040512B"/>
    <w:rsid w:val="0040531B"/>
    <w:rsid w:val="00405CA5"/>
    <w:rsid w:val="00407CD3"/>
    <w:rsid w:val="00410134"/>
    <w:rsid w:val="00410B72"/>
    <w:rsid w:val="00410F18"/>
    <w:rsid w:val="0041263E"/>
    <w:rsid w:val="00412B33"/>
    <w:rsid w:val="00413AAC"/>
    <w:rsid w:val="00413E92"/>
    <w:rsid w:val="00415588"/>
    <w:rsid w:val="00421105"/>
    <w:rsid w:val="00422AA4"/>
    <w:rsid w:val="004242F4"/>
    <w:rsid w:val="00427248"/>
    <w:rsid w:val="00432383"/>
    <w:rsid w:val="00433C04"/>
    <w:rsid w:val="00437447"/>
    <w:rsid w:val="0043785B"/>
    <w:rsid w:val="00441A92"/>
    <w:rsid w:val="004431DC"/>
    <w:rsid w:val="00444F56"/>
    <w:rsid w:val="00446488"/>
    <w:rsid w:val="00451064"/>
    <w:rsid w:val="004517AA"/>
    <w:rsid w:val="00451EBC"/>
    <w:rsid w:val="00452CAC"/>
    <w:rsid w:val="00457565"/>
    <w:rsid w:val="00457B71"/>
    <w:rsid w:val="00464689"/>
    <w:rsid w:val="004665D8"/>
    <w:rsid w:val="004669E2"/>
    <w:rsid w:val="004679DE"/>
    <w:rsid w:val="00470C31"/>
    <w:rsid w:val="00471DE0"/>
    <w:rsid w:val="004734D0"/>
    <w:rsid w:val="0047556B"/>
    <w:rsid w:val="00476D94"/>
    <w:rsid w:val="00477768"/>
    <w:rsid w:val="00480D49"/>
    <w:rsid w:val="00483103"/>
    <w:rsid w:val="00485BFF"/>
    <w:rsid w:val="00492BC5"/>
    <w:rsid w:val="004964F1"/>
    <w:rsid w:val="00496EFA"/>
    <w:rsid w:val="004A0E2F"/>
    <w:rsid w:val="004A16BC"/>
    <w:rsid w:val="004A2B94"/>
    <w:rsid w:val="004A69D7"/>
    <w:rsid w:val="004A7AD6"/>
    <w:rsid w:val="004B21B2"/>
    <w:rsid w:val="004B6F6A"/>
    <w:rsid w:val="004B7C0C"/>
    <w:rsid w:val="004C24D0"/>
    <w:rsid w:val="004C3898"/>
    <w:rsid w:val="004C6685"/>
    <w:rsid w:val="004D1405"/>
    <w:rsid w:val="004D36B1"/>
    <w:rsid w:val="004D3DBC"/>
    <w:rsid w:val="004D7EBD"/>
    <w:rsid w:val="004E010B"/>
    <w:rsid w:val="004E2680"/>
    <w:rsid w:val="004E28F9"/>
    <w:rsid w:val="004E462E"/>
    <w:rsid w:val="004E56DC"/>
    <w:rsid w:val="004E6746"/>
    <w:rsid w:val="004E76F4"/>
    <w:rsid w:val="004F0B4E"/>
    <w:rsid w:val="004F0B6C"/>
    <w:rsid w:val="004F2078"/>
    <w:rsid w:val="004F422D"/>
    <w:rsid w:val="004F4DA3"/>
    <w:rsid w:val="004F526B"/>
    <w:rsid w:val="00506557"/>
    <w:rsid w:val="0050677A"/>
    <w:rsid w:val="005071AF"/>
    <w:rsid w:val="005108D8"/>
    <w:rsid w:val="005116F9"/>
    <w:rsid w:val="005133C8"/>
    <w:rsid w:val="005153A7"/>
    <w:rsid w:val="00517439"/>
    <w:rsid w:val="005219CF"/>
    <w:rsid w:val="005244EB"/>
    <w:rsid w:val="00530E2B"/>
    <w:rsid w:val="00531E8F"/>
    <w:rsid w:val="00534B59"/>
    <w:rsid w:val="00535CAC"/>
    <w:rsid w:val="00535DDF"/>
    <w:rsid w:val="00536544"/>
    <w:rsid w:val="00536759"/>
    <w:rsid w:val="0053716E"/>
    <w:rsid w:val="00537C62"/>
    <w:rsid w:val="00540936"/>
    <w:rsid w:val="00546970"/>
    <w:rsid w:val="00547899"/>
    <w:rsid w:val="00550B99"/>
    <w:rsid w:val="00554E19"/>
    <w:rsid w:val="0056121F"/>
    <w:rsid w:val="00565122"/>
    <w:rsid w:val="005704E0"/>
    <w:rsid w:val="00572505"/>
    <w:rsid w:val="005774F4"/>
    <w:rsid w:val="00582809"/>
    <w:rsid w:val="00586954"/>
    <w:rsid w:val="0058798C"/>
    <w:rsid w:val="005900FA"/>
    <w:rsid w:val="005935A4"/>
    <w:rsid w:val="005948C2"/>
    <w:rsid w:val="00595DCA"/>
    <w:rsid w:val="0059779B"/>
    <w:rsid w:val="005A0A83"/>
    <w:rsid w:val="005A209A"/>
    <w:rsid w:val="005A2570"/>
    <w:rsid w:val="005A662D"/>
    <w:rsid w:val="005B1409"/>
    <w:rsid w:val="005B1DC3"/>
    <w:rsid w:val="005B27F9"/>
    <w:rsid w:val="005B35D7"/>
    <w:rsid w:val="005B392A"/>
    <w:rsid w:val="005B3AA3"/>
    <w:rsid w:val="005B5408"/>
    <w:rsid w:val="005B6F83"/>
    <w:rsid w:val="005C7429"/>
    <w:rsid w:val="005C74FB"/>
    <w:rsid w:val="005D1602"/>
    <w:rsid w:val="005E1536"/>
    <w:rsid w:val="005E2B9B"/>
    <w:rsid w:val="005E385F"/>
    <w:rsid w:val="005E4671"/>
    <w:rsid w:val="005E48F3"/>
    <w:rsid w:val="005E4EA7"/>
    <w:rsid w:val="005E5B81"/>
    <w:rsid w:val="005F2CB1"/>
    <w:rsid w:val="005F3025"/>
    <w:rsid w:val="005F618C"/>
    <w:rsid w:val="005F6A88"/>
    <w:rsid w:val="005F70BD"/>
    <w:rsid w:val="005F7FCC"/>
    <w:rsid w:val="0060035A"/>
    <w:rsid w:val="0060283C"/>
    <w:rsid w:val="00603187"/>
    <w:rsid w:val="00604F14"/>
    <w:rsid w:val="0060520A"/>
    <w:rsid w:val="00611B83"/>
    <w:rsid w:val="00613257"/>
    <w:rsid w:val="006158C9"/>
    <w:rsid w:val="00616DC6"/>
    <w:rsid w:val="00620A71"/>
    <w:rsid w:val="00620D80"/>
    <w:rsid w:val="006234A6"/>
    <w:rsid w:val="00624D7F"/>
    <w:rsid w:val="00630001"/>
    <w:rsid w:val="006311B3"/>
    <w:rsid w:val="0063284C"/>
    <w:rsid w:val="00632E60"/>
    <w:rsid w:val="00633E66"/>
    <w:rsid w:val="006344CB"/>
    <w:rsid w:val="00635064"/>
    <w:rsid w:val="00636398"/>
    <w:rsid w:val="006368D3"/>
    <w:rsid w:val="006377EC"/>
    <w:rsid w:val="0064151F"/>
    <w:rsid w:val="00641533"/>
    <w:rsid w:val="0064208D"/>
    <w:rsid w:val="00642471"/>
    <w:rsid w:val="006426D6"/>
    <w:rsid w:val="00643475"/>
    <w:rsid w:val="006437B6"/>
    <w:rsid w:val="0064396A"/>
    <w:rsid w:val="00644524"/>
    <w:rsid w:val="00644D7F"/>
    <w:rsid w:val="0064624E"/>
    <w:rsid w:val="0065041A"/>
    <w:rsid w:val="00650AB9"/>
    <w:rsid w:val="006521DC"/>
    <w:rsid w:val="00655733"/>
    <w:rsid w:val="00655ACD"/>
    <w:rsid w:val="00656A92"/>
    <w:rsid w:val="00656DDE"/>
    <w:rsid w:val="0066011D"/>
    <w:rsid w:val="0066020C"/>
    <w:rsid w:val="006607C0"/>
    <w:rsid w:val="006613A6"/>
    <w:rsid w:val="0066155C"/>
    <w:rsid w:val="006627A2"/>
    <w:rsid w:val="006634E6"/>
    <w:rsid w:val="00664EF6"/>
    <w:rsid w:val="006650C8"/>
    <w:rsid w:val="006655EE"/>
    <w:rsid w:val="00667EE7"/>
    <w:rsid w:val="00670922"/>
    <w:rsid w:val="00670BE1"/>
    <w:rsid w:val="0067218F"/>
    <w:rsid w:val="006741F2"/>
    <w:rsid w:val="00674CC3"/>
    <w:rsid w:val="00675C72"/>
    <w:rsid w:val="006771F9"/>
    <w:rsid w:val="006776D7"/>
    <w:rsid w:val="00680364"/>
    <w:rsid w:val="00681003"/>
    <w:rsid w:val="006816D1"/>
    <w:rsid w:val="006817C9"/>
    <w:rsid w:val="00683ECE"/>
    <w:rsid w:val="006904AF"/>
    <w:rsid w:val="00690CDB"/>
    <w:rsid w:val="0069163B"/>
    <w:rsid w:val="00695FC2"/>
    <w:rsid w:val="00696949"/>
    <w:rsid w:val="00696AF1"/>
    <w:rsid w:val="00697052"/>
    <w:rsid w:val="006A31E4"/>
    <w:rsid w:val="006A4373"/>
    <w:rsid w:val="006A46FB"/>
    <w:rsid w:val="006A5A75"/>
    <w:rsid w:val="006A5E28"/>
    <w:rsid w:val="006A697B"/>
    <w:rsid w:val="006A7AFF"/>
    <w:rsid w:val="006B1816"/>
    <w:rsid w:val="006B2099"/>
    <w:rsid w:val="006B50CF"/>
    <w:rsid w:val="006C03B8"/>
    <w:rsid w:val="006C3EB9"/>
    <w:rsid w:val="006C5611"/>
    <w:rsid w:val="006C5EC9"/>
    <w:rsid w:val="006C6059"/>
    <w:rsid w:val="006C6A19"/>
    <w:rsid w:val="006C7522"/>
    <w:rsid w:val="006D6F08"/>
    <w:rsid w:val="006E062C"/>
    <w:rsid w:val="006E1C82"/>
    <w:rsid w:val="006E28B7"/>
    <w:rsid w:val="006E2A9B"/>
    <w:rsid w:val="006E3310"/>
    <w:rsid w:val="006E35EF"/>
    <w:rsid w:val="006E4E39"/>
    <w:rsid w:val="006E565E"/>
    <w:rsid w:val="006E673D"/>
    <w:rsid w:val="006E7D3B"/>
    <w:rsid w:val="006F05D1"/>
    <w:rsid w:val="006F18F0"/>
    <w:rsid w:val="006F1B70"/>
    <w:rsid w:val="006F341D"/>
    <w:rsid w:val="006F395A"/>
    <w:rsid w:val="006F3CDE"/>
    <w:rsid w:val="006F58D4"/>
    <w:rsid w:val="006F5D88"/>
    <w:rsid w:val="006F6582"/>
    <w:rsid w:val="00702A47"/>
    <w:rsid w:val="0070346E"/>
    <w:rsid w:val="00704EDB"/>
    <w:rsid w:val="00705B02"/>
    <w:rsid w:val="00706101"/>
    <w:rsid w:val="00707072"/>
    <w:rsid w:val="00707D61"/>
    <w:rsid w:val="00712287"/>
    <w:rsid w:val="00712772"/>
    <w:rsid w:val="00713F91"/>
    <w:rsid w:val="007148D3"/>
    <w:rsid w:val="00715B9A"/>
    <w:rsid w:val="007257D0"/>
    <w:rsid w:val="00726EA6"/>
    <w:rsid w:val="00727208"/>
    <w:rsid w:val="00727680"/>
    <w:rsid w:val="007305A9"/>
    <w:rsid w:val="007348B1"/>
    <w:rsid w:val="007362A6"/>
    <w:rsid w:val="00736D7D"/>
    <w:rsid w:val="00740499"/>
    <w:rsid w:val="00740E58"/>
    <w:rsid w:val="00741DD0"/>
    <w:rsid w:val="007445A0"/>
    <w:rsid w:val="0074524B"/>
    <w:rsid w:val="00746D87"/>
    <w:rsid w:val="00747D8B"/>
    <w:rsid w:val="00751228"/>
    <w:rsid w:val="00753FC0"/>
    <w:rsid w:val="007571E1"/>
    <w:rsid w:val="007604B2"/>
    <w:rsid w:val="00765281"/>
    <w:rsid w:val="00766BAD"/>
    <w:rsid w:val="00767A53"/>
    <w:rsid w:val="007729A2"/>
    <w:rsid w:val="007754EC"/>
    <w:rsid w:val="007755A1"/>
    <w:rsid w:val="007755F2"/>
    <w:rsid w:val="00776971"/>
    <w:rsid w:val="00776F18"/>
    <w:rsid w:val="0078091D"/>
    <w:rsid w:val="00780A80"/>
    <w:rsid w:val="007813C2"/>
    <w:rsid w:val="0078177E"/>
    <w:rsid w:val="00782918"/>
    <w:rsid w:val="0078304C"/>
    <w:rsid w:val="00783673"/>
    <w:rsid w:val="00785490"/>
    <w:rsid w:val="00786F61"/>
    <w:rsid w:val="007925EA"/>
    <w:rsid w:val="00793CD8"/>
    <w:rsid w:val="0079550B"/>
    <w:rsid w:val="00795C92"/>
    <w:rsid w:val="00796231"/>
    <w:rsid w:val="007A1CB3"/>
    <w:rsid w:val="007A306F"/>
    <w:rsid w:val="007A43A6"/>
    <w:rsid w:val="007A4765"/>
    <w:rsid w:val="007A58A6"/>
    <w:rsid w:val="007A7E31"/>
    <w:rsid w:val="007B18B9"/>
    <w:rsid w:val="007B3D2D"/>
    <w:rsid w:val="007B50AE"/>
    <w:rsid w:val="007B51DF"/>
    <w:rsid w:val="007B7745"/>
    <w:rsid w:val="007C05DD"/>
    <w:rsid w:val="007C3D18"/>
    <w:rsid w:val="007C60BF"/>
    <w:rsid w:val="007C6A07"/>
    <w:rsid w:val="007C75A1"/>
    <w:rsid w:val="007C77A5"/>
    <w:rsid w:val="007D03D5"/>
    <w:rsid w:val="007D04E5"/>
    <w:rsid w:val="007D5901"/>
    <w:rsid w:val="007D70E7"/>
    <w:rsid w:val="007D7526"/>
    <w:rsid w:val="007E4610"/>
    <w:rsid w:val="007E4715"/>
    <w:rsid w:val="007E505B"/>
    <w:rsid w:val="007E7091"/>
    <w:rsid w:val="007F1FEE"/>
    <w:rsid w:val="007F39C2"/>
    <w:rsid w:val="007F6668"/>
    <w:rsid w:val="007F76F5"/>
    <w:rsid w:val="00801310"/>
    <w:rsid w:val="00801A31"/>
    <w:rsid w:val="008028F3"/>
    <w:rsid w:val="0080370E"/>
    <w:rsid w:val="00803FAE"/>
    <w:rsid w:val="00806032"/>
    <w:rsid w:val="0080605F"/>
    <w:rsid w:val="00807786"/>
    <w:rsid w:val="00807ACF"/>
    <w:rsid w:val="00811FCB"/>
    <w:rsid w:val="008129CA"/>
    <w:rsid w:val="008158D6"/>
    <w:rsid w:val="00817196"/>
    <w:rsid w:val="00817698"/>
    <w:rsid w:val="008235DB"/>
    <w:rsid w:val="00824AB4"/>
    <w:rsid w:val="00825C42"/>
    <w:rsid w:val="00825D25"/>
    <w:rsid w:val="00827D6F"/>
    <w:rsid w:val="008308EF"/>
    <w:rsid w:val="00832FB5"/>
    <w:rsid w:val="00835ECA"/>
    <w:rsid w:val="00836496"/>
    <w:rsid w:val="008376AC"/>
    <w:rsid w:val="008444E8"/>
    <w:rsid w:val="00844E80"/>
    <w:rsid w:val="00846FE7"/>
    <w:rsid w:val="00851AAE"/>
    <w:rsid w:val="00856911"/>
    <w:rsid w:val="008622CB"/>
    <w:rsid w:val="008677FD"/>
    <w:rsid w:val="008706D4"/>
    <w:rsid w:val="00870D94"/>
    <w:rsid w:val="00870F8A"/>
    <w:rsid w:val="008719A4"/>
    <w:rsid w:val="00871D23"/>
    <w:rsid w:val="00874312"/>
    <w:rsid w:val="0087437C"/>
    <w:rsid w:val="00875CD7"/>
    <w:rsid w:val="00876B4D"/>
    <w:rsid w:val="0087760D"/>
    <w:rsid w:val="00877F18"/>
    <w:rsid w:val="00881FC8"/>
    <w:rsid w:val="00882751"/>
    <w:rsid w:val="0088545D"/>
    <w:rsid w:val="0088578C"/>
    <w:rsid w:val="008869A7"/>
    <w:rsid w:val="008941E3"/>
    <w:rsid w:val="00894A88"/>
    <w:rsid w:val="00895386"/>
    <w:rsid w:val="00897F16"/>
    <w:rsid w:val="008A06B0"/>
    <w:rsid w:val="008A21FF"/>
    <w:rsid w:val="008A2CE2"/>
    <w:rsid w:val="008A30AC"/>
    <w:rsid w:val="008A44B8"/>
    <w:rsid w:val="008A51A8"/>
    <w:rsid w:val="008A54C7"/>
    <w:rsid w:val="008A77D8"/>
    <w:rsid w:val="008A7EAB"/>
    <w:rsid w:val="008B0483"/>
    <w:rsid w:val="008B120C"/>
    <w:rsid w:val="008B46C1"/>
    <w:rsid w:val="008B51A0"/>
    <w:rsid w:val="008B5388"/>
    <w:rsid w:val="008B592A"/>
    <w:rsid w:val="008B7B5C"/>
    <w:rsid w:val="008B7F0F"/>
    <w:rsid w:val="008C0C99"/>
    <w:rsid w:val="008C2017"/>
    <w:rsid w:val="008C4958"/>
    <w:rsid w:val="008C4BAA"/>
    <w:rsid w:val="008C6AE8"/>
    <w:rsid w:val="008C7573"/>
    <w:rsid w:val="008D00A5"/>
    <w:rsid w:val="008D2FDD"/>
    <w:rsid w:val="008D34F1"/>
    <w:rsid w:val="008D39D8"/>
    <w:rsid w:val="008D6D1A"/>
    <w:rsid w:val="008E065E"/>
    <w:rsid w:val="008E0927"/>
    <w:rsid w:val="008E1909"/>
    <w:rsid w:val="008E3BFE"/>
    <w:rsid w:val="008E65C7"/>
    <w:rsid w:val="008F1C4E"/>
    <w:rsid w:val="008F1EAB"/>
    <w:rsid w:val="008F33DC"/>
    <w:rsid w:val="008F477F"/>
    <w:rsid w:val="00900FB7"/>
    <w:rsid w:val="00902350"/>
    <w:rsid w:val="0090336B"/>
    <w:rsid w:val="009053AA"/>
    <w:rsid w:val="00906939"/>
    <w:rsid w:val="00910B7D"/>
    <w:rsid w:val="00911DFB"/>
    <w:rsid w:val="009139D9"/>
    <w:rsid w:val="00913B97"/>
    <w:rsid w:val="00914AD8"/>
    <w:rsid w:val="00914DAE"/>
    <w:rsid w:val="00916079"/>
    <w:rsid w:val="0091700C"/>
    <w:rsid w:val="00917CE9"/>
    <w:rsid w:val="0092075B"/>
    <w:rsid w:val="00920BF2"/>
    <w:rsid w:val="00921020"/>
    <w:rsid w:val="00921997"/>
    <w:rsid w:val="00922010"/>
    <w:rsid w:val="00924452"/>
    <w:rsid w:val="00926EBF"/>
    <w:rsid w:val="00931BD9"/>
    <w:rsid w:val="00932AC2"/>
    <w:rsid w:val="00933EA3"/>
    <w:rsid w:val="00935301"/>
    <w:rsid w:val="009368F3"/>
    <w:rsid w:val="0093797C"/>
    <w:rsid w:val="00940375"/>
    <w:rsid w:val="00941636"/>
    <w:rsid w:val="00942CE1"/>
    <w:rsid w:val="009432AA"/>
    <w:rsid w:val="00943742"/>
    <w:rsid w:val="00945C05"/>
    <w:rsid w:val="00946945"/>
    <w:rsid w:val="00947713"/>
    <w:rsid w:val="00950755"/>
    <w:rsid w:val="00950CFD"/>
    <w:rsid w:val="00950DE7"/>
    <w:rsid w:val="009512C3"/>
    <w:rsid w:val="00951D68"/>
    <w:rsid w:val="0095237A"/>
    <w:rsid w:val="00953920"/>
    <w:rsid w:val="00953AE3"/>
    <w:rsid w:val="00953D47"/>
    <w:rsid w:val="00956336"/>
    <w:rsid w:val="0095681E"/>
    <w:rsid w:val="009572D4"/>
    <w:rsid w:val="00961921"/>
    <w:rsid w:val="009635E8"/>
    <w:rsid w:val="00963D14"/>
    <w:rsid w:val="0096430A"/>
    <w:rsid w:val="0096554B"/>
    <w:rsid w:val="0096584A"/>
    <w:rsid w:val="00971F08"/>
    <w:rsid w:val="0097603D"/>
    <w:rsid w:val="00976949"/>
    <w:rsid w:val="00980477"/>
    <w:rsid w:val="00981D89"/>
    <w:rsid w:val="00983D49"/>
    <w:rsid w:val="00985253"/>
    <w:rsid w:val="009853B3"/>
    <w:rsid w:val="00990630"/>
    <w:rsid w:val="00991761"/>
    <w:rsid w:val="00994DCA"/>
    <w:rsid w:val="009960EC"/>
    <w:rsid w:val="0099709F"/>
    <w:rsid w:val="009970DD"/>
    <w:rsid w:val="009A04FD"/>
    <w:rsid w:val="009A0FBA"/>
    <w:rsid w:val="009A1601"/>
    <w:rsid w:val="009A3BB6"/>
    <w:rsid w:val="009A462D"/>
    <w:rsid w:val="009A5CBA"/>
    <w:rsid w:val="009B0ADF"/>
    <w:rsid w:val="009B102A"/>
    <w:rsid w:val="009B18F6"/>
    <w:rsid w:val="009B1F30"/>
    <w:rsid w:val="009B2EC2"/>
    <w:rsid w:val="009B33A8"/>
    <w:rsid w:val="009B3AC2"/>
    <w:rsid w:val="009B4DF4"/>
    <w:rsid w:val="009B564E"/>
    <w:rsid w:val="009B792A"/>
    <w:rsid w:val="009B7CF7"/>
    <w:rsid w:val="009B7E87"/>
    <w:rsid w:val="009C0169"/>
    <w:rsid w:val="009C18A5"/>
    <w:rsid w:val="009C1E84"/>
    <w:rsid w:val="009C403E"/>
    <w:rsid w:val="009C503C"/>
    <w:rsid w:val="009D077E"/>
    <w:rsid w:val="009D2999"/>
    <w:rsid w:val="009D4FF0"/>
    <w:rsid w:val="009D5B38"/>
    <w:rsid w:val="009D5BE5"/>
    <w:rsid w:val="009D703C"/>
    <w:rsid w:val="009D718F"/>
    <w:rsid w:val="009E068F"/>
    <w:rsid w:val="009E14E0"/>
    <w:rsid w:val="009E22D3"/>
    <w:rsid w:val="009E2384"/>
    <w:rsid w:val="009E266A"/>
    <w:rsid w:val="009E35DB"/>
    <w:rsid w:val="009E47A3"/>
    <w:rsid w:val="009F08F3"/>
    <w:rsid w:val="009F344F"/>
    <w:rsid w:val="009F4AEE"/>
    <w:rsid w:val="009F4DE7"/>
    <w:rsid w:val="009F7E12"/>
    <w:rsid w:val="00A01992"/>
    <w:rsid w:val="00A02380"/>
    <w:rsid w:val="00A031D8"/>
    <w:rsid w:val="00A048A8"/>
    <w:rsid w:val="00A04F49"/>
    <w:rsid w:val="00A108C5"/>
    <w:rsid w:val="00A13E54"/>
    <w:rsid w:val="00A15A0A"/>
    <w:rsid w:val="00A17F63"/>
    <w:rsid w:val="00A2193B"/>
    <w:rsid w:val="00A2351A"/>
    <w:rsid w:val="00A25494"/>
    <w:rsid w:val="00A264A9"/>
    <w:rsid w:val="00A26DCF"/>
    <w:rsid w:val="00A27785"/>
    <w:rsid w:val="00A30187"/>
    <w:rsid w:val="00A32506"/>
    <w:rsid w:val="00A3448A"/>
    <w:rsid w:val="00A35634"/>
    <w:rsid w:val="00A36297"/>
    <w:rsid w:val="00A366AC"/>
    <w:rsid w:val="00A37843"/>
    <w:rsid w:val="00A41E2B"/>
    <w:rsid w:val="00A4447B"/>
    <w:rsid w:val="00A45B74"/>
    <w:rsid w:val="00A5090F"/>
    <w:rsid w:val="00A51051"/>
    <w:rsid w:val="00A52A6D"/>
    <w:rsid w:val="00A52E1D"/>
    <w:rsid w:val="00A56582"/>
    <w:rsid w:val="00A57E5C"/>
    <w:rsid w:val="00A61499"/>
    <w:rsid w:val="00A62A77"/>
    <w:rsid w:val="00A63483"/>
    <w:rsid w:val="00A657D7"/>
    <w:rsid w:val="00A660AC"/>
    <w:rsid w:val="00A661B2"/>
    <w:rsid w:val="00A67DAF"/>
    <w:rsid w:val="00A67E6C"/>
    <w:rsid w:val="00A71B99"/>
    <w:rsid w:val="00A739D0"/>
    <w:rsid w:val="00A761D4"/>
    <w:rsid w:val="00A77EC4"/>
    <w:rsid w:val="00A909F5"/>
    <w:rsid w:val="00A92879"/>
    <w:rsid w:val="00A932F9"/>
    <w:rsid w:val="00A9442A"/>
    <w:rsid w:val="00AA016F"/>
    <w:rsid w:val="00AA1ED6"/>
    <w:rsid w:val="00AA321D"/>
    <w:rsid w:val="00AA51D6"/>
    <w:rsid w:val="00AA71AE"/>
    <w:rsid w:val="00AB05D4"/>
    <w:rsid w:val="00AB0BC8"/>
    <w:rsid w:val="00AB11CA"/>
    <w:rsid w:val="00AB14D9"/>
    <w:rsid w:val="00AB1DBB"/>
    <w:rsid w:val="00AB310D"/>
    <w:rsid w:val="00AB31EC"/>
    <w:rsid w:val="00AB4AB8"/>
    <w:rsid w:val="00AB58F8"/>
    <w:rsid w:val="00AB655E"/>
    <w:rsid w:val="00AC007F"/>
    <w:rsid w:val="00AC2ECD"/>
    <w:rsid w:val="00AC3119"/>
    <w:rsid w:val="00AC355B"/>
    <w:rsid w:val="00AC49FB"/>
    <w:rsid w:val="00AC5703"/>
    <w:rsid w:val="00AC5A10"/>
    <w:rsid w:val="00AD0AA3"/>
    <w:rsid w:val="00AD2ED0"/>
    <w:rsid w:val="00AD3F94"/>
    <w:rsid w:val="00AD4A5A"/>
    <w:rsid w:val="00AD6842"/>
    <w:rsid w:val="00AE27AC"/>
    <w:rsid w:val="00AE2C70"/>
    <w:rsid w:val="00AE344E"/>
    <w:rsid w:val="00AE40E0"/>
    <w:rsid w:val="00AE4DBA"/>
    <w:rsid w:val="00AE4F07"/>
    <w:rsid w:val="00AE7A5A"/>
    <w:rsid w:val="00AF0DFA"/>
    <w:rsid w:val="00AF11D3"/>
    <w:rsid w:val="00AF1C5D"/>
    <w:rsid w:val="00AF42D7"/>
    <w:rsid w:val="00B006FE"/>
    <w:rsid w:val="00B007CB"/>
    <w:rsid w:val="00B016AC"/>
    <w:rsid w:val="00B02AA9"/>
    <w:rsid w:val="00B02FA3"/>
    <w:rsid w:val="00B0314B"/>
    <w:rsid w:val="00B03978"/>
    <w:rsid w:val="00B05084"/>
    <w:rsid w:val="00B11003"/>
    <w:rsid w:val="00B110E4"/>
    <w:rsid w:val="00B116C6"/>
    <w:rsid w:val="00B132F3"/>
    <w:rsid w:val="00B157F9"/>
    <w:rsid w:val="00B17512"/>
    <w:rsid w:val="00B20256"/>
    <w:rsid w:val="00B20D09"/>
    <w:rsid w:val="00B2763F"/>
    <w:rsid w:val="00B27AAC"/>
    <w:rsid w:val="00B302CA"/>
    <w:rsid w:val="00B30929"/>
    <w:rsid w:val="00B35F43"/>
    <w:rsid w:val="00B372AA"/>
    <w:rsid w:val="00B40445"/>
    <w:rsid w:val="00B409E0"/>
    <w:rsid w:val="00B41888"/>
    <w:rsid w:val="00B42DB0"/>
    <w:rsid w:val="00B45963"/>
    <w:rsid w:val="00B45A52"/>
    <w:rsid w:val="00B46175"/>
    <w:rsid w:val="00B548B7"/>
    <w:rsid w:val="00B65073"/>
    <w:rsid w:val="00B664C7"/>
    <w:rsid w:val="00B738F8"/>
    <w:rsid w:val="00B739F6"/>
    <w:rsid w:val="00B75595"/>
    <w:rsid w:val="00B76E44"/>
    <w:rsid w:val="00B7716A"/>
    <w:rsid w:val="00B81A6C"/>
    <w:rsid w:val="00B85DE5"/>
    <w:rsid w:val="00B90F73"/>
    <w:rsid w:val="00B92A7A"/>
    <w:rsid w:val="00B93B59"/>
    <w:rsid w:val="00B9406A"/>
    <w:rsid w:val="00B96D5E"/>
    <w:rsid w:val="00B9776B"/>
    <w:rsid w:val="00B97A92"/>
    <w:rsid w:val="00BA2280"/>
    <w:rsid w:val="00BA2A08"/>
    <w:rsid w:val="00BA4685"/>
    <w:rsid w:val="00BA56D2"/>
    <w:rsid w:val="00BA5BC0"/>
    <w:rsid w:val="00BA76E0"/>
    <w:rsid w:val="00BB2A25"/>
    <w:rsid w:val="00BB3A9A"/>
    <w:rsid w:val="00BB51E9"/>
    <w:rsid w:val="00BC0FDC"/>
    <w:rsid w:val="00BC3053"/>
    <w:rsid w:val="00BC4D2E"/>
    <w:rsid w:val="00BC79DD"/>
    <w:rsid w:val="00BD48AC"/>
    <w:rsid w:val="00BD4B0B"/>
    <w:rsid w:val="00BD5F1A"/>
    <w:rsid w:val="00BE1234"/>
    <w:rsid w:val="00BE2C31"/>
    <w:rsid w:val="00BE2FA6"/>
    <w:rsid w:val="00BE333F"/>
    <w:rsid w:val="00BE4D12"/>
    <w:rsid w:val="00BE7406"/>
    <w:rsid w:val="00BE7603"/>
    <w:rsid w:val="00BF17C9"/>
    <w:rsid w:val="00BF3279"/>
    <w:rsid w:val="00BF74C7"/>
    <w:rsid w:val="00C015F1"/>
    <w:rsid w:val="00C01F33"/>
    <w:rsid w:val="00C02CC6"/>
    <w:rsid w:val="00C040F7"/>
    <w:rsid w:val="00C044AB"/>
    <w:rsid w:val="00C05706"/>
    <w:rsid w:val="00C07377"/>
    <w:rsid w:val="00C10478"/>
    <w:rsid w:val="00C11E1F"/>
    <w:rsid w:val="00C12107"/>
    <w:rsid w:val="00C12611"/>
    <w:rsid w:val="00C12B3D"/>
    <w:rsid w:val="00C14D4B"/>
    <w:rsid w:val="00C151CA"/>
    <w:rsid w:val="00C154BB"/>
    <w:rsid w:val="00C17F1F"/>
    <w:rsid w:val="00C2156A"/>
    <w:rsid w:val="00C2670D"/>
    <w:rsid w:val="00C279B5"/>
    <w:rsid w:val="00C27C45"/>
    <w:rsid w:val="00C349E6"/>
    <w:rsid w:val="00C3719D"/>
    <w:rsid w:val="00C37CB2"/>
    <w:rsid w:val="00C473A5"/>
    <w:rsid w:val="00C53AE2"/>
    <w:rsid w:val="00C54995"/>
    <w:rsid w:val="00C54D41"/>
    <w:rsid w:val="00C60783"/>
    <w:rsid w:val="00C62534"/>
    <w:rsid w:val="00C64672"/>
    <w:rsid w:val="00C70697"/>
    <w:rsid w:val="00C71304"/>
    <w:rsid w:val="00C71D76"/>
    <w:rsid w:val="00C72093"/>
    <w:rsid w:val="00C72EF4"/>
    <w:rsid w:val="00C744FE"/>
    <w:rsid w:val="00C75D2F"/>
    <w:rsid w:val="00C767BE"/>
    <w:rsid w:val="00C76E3C"/>
    <w:rsid w:val="00C7722C"/>
    <w:rsid w:val="00C8010A"/>
    <w:rsid w:val="00C81568"/>
    <w:rsid w:val="00C820FE"/>
    <w:rsid w:val="00C9027A"/>
    <w:rsid w:val="00C9068E"/>
    <w:rsid w:val="00C926EE"/>
    <w:rsid w:val="00C93814"/>
    <w:rsid w:val="00C93C4B"/>
    <w:rsid w:val="00C944AB"/>
    <w:rsid w:val="00C94803"/>
    <w:rsid w:val="00C95B40"/>
    <w:rsid w:val="00CA1ED8"/>
    <w:rsid w:val="00CA3AF0"/>
    <w:rsid w:val="00CB0412"/>
    <w:rsid w:val="00CB1F63"/>
    <w:rsid w:val="00CB2DB7"/>
    <w:rsid w:val="00CB7170"/>
    <w:rsid w:val="00CC040E"/>
    <w:rsid w:val="00CC1015"/>
    <w:rsid w:val="00CC111F"/>
    <w:rsid w:val="00CC2011"/>
    <w:rsid w:val="00CC3EA0"/>
    <w:rsid w:val="00CC5724"/>
    <w:rsid w:val="00CC7B45"/>
    <w:rsid w:val="00CD1188"/>
    <w:rsid w:val="00CD1EA9"/>
    <w:rsid w:val="00CD2ED1"/>
    <w:rsid w:val="00CD337B"/>
    <w:rsid w:val="00CE032E"/>
    <w:rsid w:val="00CE0424"/>
    <w:rsid w:val="00CE18DD"/>
    <w:rsid w:val="00CE1BF9"/>
    <w:rsid w:val="00CE4E34"/>
    <w:rsid w:val="00CE7561"/>
    <w:rsid w:val="00CF1354"/>
    <w:rsid w:val="00CF17D8"/>
    <w:rsid w:val="00CF3B1F"/>
    <w:rsid w:val="00CF3BF6"/>
    <w:rsid w:val="00CF3F3F"/>
    <w:rsid w:val="00CF5799"/>
    <w:rsid w:val="00CF625B"/>
    <w:rsid w:val="00CF687E"/>
    <w:rsid w:val="00D0349B"/>
    <w:rsid w:val="00D04B75"/>
    <w:rsid w:val="00D06D10"/>
    <w:rsid w:val="00D06FCD"/>
    <w:rsid w:val="00D10249"/>
    <w:rsid w:val="00D115C3"/>
    <w:rsid w:val="00D11897"/>
    <w:rsid w:val="00D13135"/>
    <w:rsid w:val="00D13E4E"/>
    <w:rsid w:val="00D223C0"/>
    <w:rsid w:val="00D239A7"/>
    <w:rsid w:val="00D23F47"/>
    <w:rsid w:val="00D30255"/>
    <w:rsid w:val="00D32A04"/>
    <w:rsid w:val="00D33C68"/>
    <w:rsid w:val="00D33D23"/>
    <w:rsid w:val="00D36E71"/>
    <w:rsid w:val="00D37D87"/>
    <w:rsid w:val="00D40B33"/>
    <w:rsid w:val="00D40BC9"/>
    <w:rsid w:val="00D42230"/>
    <w:rsid w:val="00D4318F"/>
    <w:rsid w:val="00D438BF"/>
    <w:rsid w:val="00D440F8"/>
    <w:rsid w:val="00D442E8"/>
    <w:rsid w:val="00D4682B"/>
    <w:rsid w:val="00D53056"/>
    <w:rsid w:val="00D546FF"/>
    <w:rsid w:val="00D55AD5"/>
    <w:rsid w:val="00D56CAB"/>
    <w:rsid w:val="00D576CA"/>
    <w:rsid w:val="00D61AF5"/>
    <w:rsid w:val="00D652B5"/>
    <w:rsid w:val="00D66155"/>
    <w:rsid w:val="00D664EB"/>
    <w:rsid w:val="00D708B0"/>
    <w:rsid w:val="00D77B1D"/>
    <w:rsid w:val="00D77FDF"/>
    <w:rsid w:val="00D80190"/>
    <w:rsid w:val="00D8021F"/>
    <w:rsid w:val="00D80383"/>
    <w:rsid w:val="00D823C6"/>
    <w:rsid w:val="00D8327F"/>
    <w:rsid w:val="00D851A0"/>
    <w:rsid w:val="00D86CA3"/>
    <w:rsid w:val="00D871CE"/>
    <w:rsid w:val="00D90F4D"/>
    <w:rsid w:val="00D9196D"/>
    <w:rsid w:val="00D92982"/>
    <w:rsid w:val="00D94CB0"/>
    <w:rsid w:val="00DA305E"/>
    <w:rsid w:val="00DA5417"/>
    <w:rsid w:val="00DA56E8"/>
    <w:rsid w:val="00DB0A9F"/>
    <w:rsid w:val="00DB29C4"/>
    <w:rsid w:val="00DB377D"/>
    <w:rsid w:val="00DB3A17"/>
    <w:rsid w:val="00DC168E"/>
    <w:rsid w:val="00DC2D36"/>
    <w:rsid w:val="00DC53EF"/>
    <w:rsid w:val="00DD3D33"/>
    <w:rsid w:val="00DD7EBC"/>
    <w:rsid w:val="00DE1A8B"/>
    <w:rsid w:val="00DE5608"/>
    <w:rsid w:val="00DE58D0"/>
    <w:rsid w:val="00DE654F"/>
    <w:rsid w:val="00DE6CA3"/>
    <w:rsid w:val="00DF0B6E"/>
    <w:rsid w:val="00DF15E0"/>
    <w:rsid w:val="00DF1F45"/>
    <w:rsid w:val="00DF2EF4"/>
    <w:rsid w:val="00DF37A0"/>
    <w:rsid w:val="00DF6B33"/>
    <w:rsid w:val="00E002B9"/>
    <w:rsid w:val="00E0033E"/>
    <w:rsid w:val="00E01284"/>
    <w:rsid w:val="00E041BB"/>
    <w:rsid w:val="00E04990"/>
    <w:rsid w:val="00E05106"/>
    <w:rsid w:val="00E110E7"/>
    <w:rsid w:val="00E11B20"/>
    <w:rsid w:val="00E13002"/>
    <w:rsid w:val="00E1490A"/>
    <w:rsid w:val="00E17FA2"/>
    <w:rsid w:val="00E218B1"/>
    <w:rsid w:val="00E21B15"/>
    <w:rsid w:val="00E22330"/>
    <w:rsid w:val="00E22E35"/>
    <w:rsid w:val="00E30B5A"/>
    <w:rsid w:val="00E3123D"/>
    <w:rsid w:val="00E31461"/>
    <w:rsid w:val="00E31D43"/>
    <w:rsid w:val="00E32608"/>
    <w:rsid w:val="00E32E6C"/>
    <w:rsid w:val="00E34188"/>
    <w:rsid w:val="00E34B6E"/>
    <w:rsid w:val="00E35559"/>
    <w:rsid w:val="00E3723A"/>
    <w:rsid w:val="00E37860"/>
    <w:rsid w:val="00E41598"/>
    <w:rsid w:val="00E4406A"/>
    <w:rsid w:val="00E446F1"/>
    <w:rsid w:val="00E46886"/>
    <w:rsid w:val="00E47AEF"/>
    <w:rsid w:val="00E47C09"/>
    <w:rsid w:val="00E53B75"/>
    <w:rsid w:val="00E54E3B"/>
    <w:rsid w:val="00E5588E"/>
    <w:rsid w:val="00E55EB5"/>
    <w:rsid w:val="00E56539"/>
    <w:rsid w:val="00E57565"/>
    <w:rsid w:val="00E610C9"/>
    <w:rsid w:val="00E6248A"/>
    <w:rsid w:val="00E626A2"/>
    <w:rsid w:val="00E63838"/>
    <w:rsid w:val="00E64434"/>
    <w:rsid w:val="00E64A99"/>
    <w:rsid w:val="00E67C51"/>
    <w:rsid w:val="00E71237"/>
    <w:rsid w:val="00E718C7"/>
    <w:rsid w:val="00E728C9"/>
    <w:rsid w:val="00E72EFC"/>
    <w:rsid w:val="00E75558"/>
    <w:rsid w:val="00E758EC"/>
    <w:rsid w:val="00E81522"/>
    <w:rsid w:val="00E8234C"/>
    <w:rsid w:val="00E8279C"/>
    <w:rsid w:val="00E83AA9"/>
    <w:rsid w:val="00E85928"/>
    <w:rsid w:val="00E87822"/>
    <w:rsid w:val="00E90395"/>
    <w:rsid w:val="00E9081D"/>
    <w:rsid w:val="00E90E49"/>
    <w:rsid w:val="00E90F8A"/>
    <w:rsid w:val="00E915DD"/>
    <w:rsid w:val="00E917F9"/>
    <w:rsid w:val="00E9291C"/>
    <w:rsid w:val="00E93FFE"/>
    <w:rsid w:val="00E94F8A"/>
    <w:rsid w:val="00E952DA"/>
    <w:rsid w:val="00EA7A41"/>
    <w:rsid w:val="00EB077B"/>
    <w:rsid w:val="00EB4EA2"/>
    <w:rsid w:val="00EB5E73"/>
    <w:rsid w:val="00EC24D5"/>
    <w:rsid w:val="00EC27C6"/>
    <w:rsid w:val="00EC419F"/>
    <w:rsid w:val="00EC4207"/>
    <w:rsid w:val="00EC5653"/>
    <w:rsid w:val="00EC71CE"/>
    <w:rsid w:val="00ED1006"/>
    <w:rsid w:val="00ED3FB1"/>
    <w:rsid w:val="00EF18FE"/>
    <w:rsid w:val="00EF3BAA"/>
    <w:rsid w:val="00EF498A"/>
    <w:rsid w:val="00EF544B"/>
    <w:rsid w:val="00EF5787"/>
    <w:rsid w:val="00EF60D0"/>
    <w:rsid w:val="00EF7814"/>
    <w:rsid w:val="00F0528D"/>
    <w:rsid w:val="00F05C00"/>
    <w:rsid w:val="00F062E9"/>
    <w:rsid w:val="00F06C67"/>
    <w:rsid w:val="00F06DFD"/>
    <w:rsid w:val="00F06ECA"/>
    <w:rsid w:val="00F071D1"/>
    <w:rsid w:val="00F07533"/>
    <w:rsid w:val="00F10629"/>
    <w:rsid w:val="00F1417C"/>
    <w:rsid w:val="00F15FA5"/>
    <w:rsid w:val="00F16E52"/>
    <w:rsid w:val="00F209B7"/>
    <w:rsid w:val="00F2376F"/>
    <w:rsid w:val="00F243D8"/>
    <w:rsid w:val="00F30828"/>
    <w:rsid w:val="00F313D6"/>
    <w:rsid w:val="00F329A5"/>
    <w:rsid w:val="00F36AB2"/>
    <w:rsid w:val="00F4080F"/>
    <w:rsid w:val="00F40F0C"/>
    <w:rsid w:val="00F4766C"/>
    <w:rsid w:val="00F5060E"/>
    <w:rsid w:val="00F507D1"/>
    <w:rsid w:val="00F517AD"/>
    <w:rsid w:val="00F519CE"/>
    <w:rsid w:val="00F51ADA"/>
    <w:rsid w:val="00F5217E"/>
    <w:rsid w:val="00F53547"/>
    <w:rsid w:val="00F552CE"/>
    <w:rsid w:val="00F560CD"/>
    <w:rsid w:val="00F5690C"/>
    <w:rsid w:val="00F60203"/>
    <w:rsid w:val="00F607C5"/>
    <w:rsid w:val="00F60DEA"/>
    <w:rsid w:val="00F6302A"/>
    <w:rsid w:val="00F6350E"/>
    <w:rsid w:val="00F63950"/>
    <w:rsid w:val="00F64C2B"/>
    <w:rsid w:val="00F651BE"/>
    <w:rsid w:val="00F65A58"/>
    <w:rsid w:val="00F67F53"/>
    <w:rsid w:val="00F703BE"/>
    <w:rsid w:val="00F71F69"/>
    <w:rsid w:val="00F7288F"/>
    <w:rsid w:val="00F72B72"/>
    <w:rsid w:val="00F74BB9"/>
    <w:rsid w:val="00F75582"/>
    <w:rsid w:val="00F76EFA"/>
    <w:rsid w:val="00F804BE"/>
    <w:rsid w:val="00F817CE"/>
    <w:rsid w:val="00F83DB4"/>
    <w:rsid w:val="00F83DC5"/>
    <w:rsid w:val="00F8456C"/>
    <w:rsid w:val="00F85774"/>
    <w:rsid w:val="00F859D8"/>
    <w:rsid w:val="00F868F5"/>
    <w:rsid w:val="00F9056A"/>
    <w:rsid w:val="00F90F8D"/>
    <w:rsid w:val="00F92782"/>
    <w:rsid w:val="00F92BD7"/>
    <w:rsid w:val="00F93AA9"/>
    <w:rsid w:val="00F94808"/>
    <w:rsid w:val="00F953CE"/>
    <w:rsid w:val="00F95BB1"/>
    <w:rsid w:val="00F96985"/>
    <w:rsid w:val="00F97838"/>
    <w:rsid w:val="00FA2BB3"/>
    <w:rsid w:val="00FA6106"/>
    <w:rsid w:val="00FA7219"/>
    <w:rsid w:val="00FB32DE"/>
    <w:rsid w:val="00FB4C80"/>
    <w:rsid w:val="00FB557F"/>
    <w:rsid w:val="00FB6A6A"/>
    <w:rsid w:val="00FC3356"/>
    <w:rsid w:val="00FC5C49"/>
    <w:rsid w:val="00FC6965"/>
    <w:rsid w:val="00FC7429"/>
    <w:rsid w:val="00FD07F6"/>
    <w:rsid w:val="00FD1EC8"/>
    <w:rsid w:val="00FD2088"/>
    <w:rsid w:val="00FD47ED"/>
    <w:rsid w:val="00FD6039"/>
    <w:rsid w:val="00FD74DB"/>
    <w:rsid w:val="00FD7660"/>
    <w:rsid w:val="00FE0655"/>
    <w:rsid w:val="00FE15CD"/>
    <w:rsid w:val="00FE2365"/>
    <w:rsid w:val="00FE37D7"/>
    <w:rsid w:val="00FE3B37"/>
    <w:rsid w:val="00FE4C7B"/>
    <w:rsid w:val="00FE595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11447"/>
  <w15:chartTrackingRefBased/>
  <w15:docId w15:val="{5A34121C-740F-4A69-9407-6F221C08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C24D0"/>
    <w:pPr>
      <w:keepNext/>
      <w:keepLines/>
      <w:widowControl w:val="0"/>
      <w:tabs>
        <w:tab w:val="right" w:leader="dot" w:pos="9639"/>
      </w:tabs>
      <w:overflowPunct w:val="0"/>
      <w:autoSpaceDE w:val="0"/>
      <w:autoSpaceDN w:val="0"/>
      <w:adjustRightInd w:val="0"/>
      <w:spacing w:before="120" w:after="160" w:line="259" w:lineRule="auto"/>
      <w:ind w:left="1310" w:hanging="1310"/>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A4373"/>
    <w:pPr>
      <w:numPr>
        <w:numId w:val="2"/>
      </w:numPr>
      <w:tabs>
        <w:tab w:val="left" w:leader="do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qFormat/>
    <w:rsid w:val="00C26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952DA"/>
  </w:style>
  <w:style w:type="table" w:customStyle="1" w:styleId="1">
    <w:name w:val="表 (格子)1"/>
    <w:basedOn w:val="TableNormal"/>
    <w:next w:val="TableGrid"/>
    <w:qFormat/>
    <w:rsid w:val="00E5588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665D8"/>
    <w:rPr>
      <w:color w:val="605E5C"/>
      <w:shd w:val="clear" w:color="auto" w:fill="E1DFDD"/>
    </w:rPr>
  </w:style>
  <w:style w:type="character" w:styleId="Mention">
    <w:name w:val="Mention"/>
    <w:basedOn w:val="DefaultParagraphFont"/>
    <w:uiPriority w:val="99"/>
    <w:unhideWhenUsed/>
    <w:rsid w:val="004665D8"/>
    <w:rPr>
      <w:color w:val="2B579A"/>
      <w:shd w:val="clear" w:color="auto" w:fill="E1DFDD"/>
    </w:rPr>
  </w:style>
  <w:style w:type="table" w:customStyle="1" w:styleId="TableGrid2">
    <w:name w:val="Table Grid2"/>
    <w:basedOn w:val="TableNormal"/>
    <w:next w:val="TableGrid"/>
    <w:uiPriority w:val="39"/>
    <w:rsid w:val="001277A4"/>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027">
      <w:bodyDiv w:val="1"/>
      <w:marLeft w:val="0"/>
      <w:marRight w:val="0"/>
      <w:marTop w:val="0"/>
      <w:marBottom w:val="0"/>
      <w:divBdr>
        <w:top w:val="none" w:sz="0" w:space="0" w:color="auto"/>
        <w:left w:val="none" w:sz="0" w:space="0" w:color="auto"/>
        <w:bottom w:val="none" w:sz="0" w:space="0" w:color="auto"/>
        <w:right w:val="none" w:sz="0" w:space="0" w:color="auto"/>
      </w:divBdr>
    </w:div>
    <w:div w:id="344089183">
      <w:bodyDiv w:val="1"/>
      <w:marLeft w:val="0"/>
      <w:marRight w:val="0"/>
      <w:marTop w:val="0"/>
      <w:marBottom w:val="0"/>
      <w:divBdr>
        <w:top w:val="none" w:sz="0" w:space="0" w:color="auto"/>
        <w:left w:val="none" w:sz="0" w:space="0" w:color="auto"/>
        <w:bottom w:val="none" w:sz="0" w:space="0" w:color="auto"/>
        <w:right w:val="none" w:sz="0" w:space="0" w:color="auto"/>
      </w:divBdr>
    </w:div>
    <w:div w:id="628324314">
      <w:bodyDiv w:val="1"/>
      <w:marLeft w:val="0"/>
      <w:marRight w:val="0"/>
      <w:marTop w:val="0"/>
      <w:marBottom w:val="0"/>
      <w:divBdr>
        <w:top w:val="none" w:sz="0" w:space="0" w:color="auto"/>
        <w:left w:val="none" w:sz="0" w:space="0" w:color="auto"/>
        <w:bottom w:val="none" w:sz="0" w:space="0" w:color="auto"/>
        <w:right w:val="none" w:sz="0" w:space="0" w:color="auto"/>
      </w:divBdr>
    </w:div>
    <w:div w:id="749812157">
      <w:bodyDiv w:val="1"/>
      <w:marLeft w:val="0"/>
      <w:marRight w:val="0"/>
      <w:marTop w:val="0"/>
      <w:marBottom w:val="0"/>
      <w:divBdr>
        <w:top w:val="none" w:sz="0" w:space="0" w:color="auto"/>
        <w:left w:val="none" w:sz="0" w:space="0" w:color="auto"/>
        <w:bottom w:val="none" w:sz="0" w:space="0" w:color="auto"/>
        <w:right w:val="none" w:sz="0" w:space="0" w:color="auto"/>
      </w:divBdr>
    </w:div>
    <w:div w:id="921990061">
      <w:bodyDiv w:val="1"/>
      <w:marLeft w:val="0"/>
      <w:marRight w:val="0"/>
      <w:marTop w:val="0"/>
      <w:marBottom w:val="0"/>
      <w:divBdr>
        <w:top w:val="none" w:sz="0" w:space="0" w:color="auto"/>
        <w:left w:val="none" w:sz="0" w:space="0" w:color="auto"/>
        <w:bottom w:val="none" w:sz="0" w:space="0" w:color="auto"/>
        <w:right w:val="none" w:sz="0" w:space="0" w:color="auto"/>
      </w:divBdr>
    </w:div>
    <w:div w:id="934509061">
      <w:bodyDiv w:val="1"/>
      <w:marLeft w:val="0"/>
      <w:marRight w:val="0"/>
      <w:marTop w:val="0"/>
      <w:marBottom w:val="0"/>
      <w:divBdr>
        <w:top w:val="none" w:sz="0" w:space="0" w:color="auto"/>
        <w:left w:val="none" w:sz="0" w:space="0" w:color="auto"/>
        <w:bottom w:val="none" w:sz="0" w:space="0" w:color="auto"/>
        <w:right w:val="none" w:sz="0" w:space="0" w:color="auto"/>
      </w:divBdr>
    </w:div>
    <w:div w:id="1234320004">
      <w:bodyDiv w:val="1"/>
      <w:marLeft w:val="0"/>
      <w:marRight w:val="0"/>
      <w:marTop w:val="0"/>
      <w:marBottom w:val="0"/>
      <w:divBdr>
        <w:top w:val="none" w:sz="0" w:space="0" w:color="auto"/>
        <w:left w:val="none" w:sz="0" w:space="0" w:color="auto"/>
        <w:bottom w:val="none" w:sz="0" w:space="0" w:color="auto"/>
        <w:right w:val="none" w:sz="0" w:space="0" w:color="auto"/>
      </w:divBdr>
    </w:div>
    <w:div w:id="1453280816">
      <w:bodyDiv w:val="1"/>
      <w:marLeft w:val="0"/>
      <w:marRight w:val="0"/>
      <w:marTop w:val="0"/>
      <w:marBottom w:val="0"/>
      <w:divBdr>
        <w:top w:val="none" w:sz="0" w:space="0" w:color="auto"/>
        <w:left w:val="none" w:sz="0" w:space="0" w:color="auto"/>
        <w:bottom w:val="none" w:sz="0" w:space="0" w:color="auto"/>
        <w:right w:val="none" w:sz="0" w:space="0" w:color="auto"/>
      </w:divBdr>
      <w:divsChild>
        <w:div w:id="1672483370">
          <w:marLeft w:val="0"/>
          <w:marRight w:val="0"/>
          <w:marTop w:val="0"/>
          <w:marBottom w:val="0"/>
          <w:divBdr>
            <w:top w:val="none" w:sz="0" w:space="0" w:color="auto"/>
            <w:left w:val="none" w:sz="0" w:space="0" w:color="auto"/>
            <w:bottom w:val="none" w:sz="0" w:space="0" w:color="auto"/>
            <w:right w:val="none" w:sz="0" w:space="0" w:color="auto"/>
          </w:divBdr>
        </w:div>
      </w:divsChild>
    </w:div>
    <w:div w:id="1687555762">
      <w:bodyDiv w:val="1"/>
      <w:marLeft w:val="0"/>
      <w:marRight w:val="0"/>
      <w:marTop w:val="0"/>
      <w:marBottom w:val="0"/>
      <w:divBdr>
        <w:top w:val="none" w:sz="0" w:space="0" w:color="auto"/>
        <w:left w:val="none" w:sz="0" w:space="0" w:color="auto"/>
        <w:bottom w:val="none" w:sz="0" w:space="0" w:color="auto"/>
        <w:right w:val="none" w:sz="0" w:space="0" w:color="auto"/>
      </w:divBdr>
    </w:div>
    <w:div w:id="1777600651">
      <w:bodyDiv w:val="1"/>
      <w:marLeft w:val="0"/>
      <w:marRight w:val="0"/>
      <w:marTop w:val="0"/>
      <w:marBottom w:val="0"/>
      <w:divBdr>
        <w:top w:val="none" w:sz="0" w:space="0" w:color="auto"/>
        <w:left w:val="none" w:sz="0" w:space="0" w:color="auto"/>
        <w:bottom w:val="none" w:sz="0" w:space="0" w:color="auto"/>
        <w:right w:val="none" w:sz="0" w:space="0" w:color="auto"/>
      </w:divBdr>
    </w:div>
    <w:div w:id="1821919352">
      <w:bodyDiv w:val="1"/>
      <w:marLeft w:val="0"/>
      <w:marRight w:val="0"/>
      <w:marTop w:val="0"/>
      <w:marBottom w:val="0"/>
      <w:divBdr>
        <w:top w:val="none" w:sz="0" w:space="0" w:color="auto"/>
        <w:left w:val="none" w:sz="0" w:space="0" w:color="auto"/>
        <w:bottom w:val="none" w:sz="0" w:space="0" w:color="auto"/>
        <w:right w:val="none" w:sz="0" w:space="0" w:color="auto"/>
      </w:divBdr>
      <w:divsChild>
        <w:div w:id="1500078226">
          <w:marLeft w:val="0"/>
          <w:marRight w:val="0"/>
          <w:marTop w:val="0"/>
          <w:marBottom w:val="0"/>
          <w:divBdr>
            <w:top w:val="none" w:sz="0" w:space="0" w:color="auto"/>
            <w:left w:val="none" w:sz="0" w:space="0" w:color="auto"/>
            <w:bottom w:val="none" w:sz="0" w:space="0" w:color="auto"/>
            <w:right w:val="none" w:sz="0" w:space="0" w:color="auto"/>
          </w:divBdr>
        </w:div>
      </w:divsChild>
    </w:div>
    <w:div w:id="2056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03CB1518-28D9-45BC-A8D2-85D754538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651C95F-9716-468D-A179-71ED2B44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2821</Words>
  <Characters>16081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18865</CharactersWithSpaces>
  <SharedDoc>false</SharedDoc>
  <HLinks>
    <vt:vector size="42" baseType="variant">
      <vt:variant>
        <vt:i4>1114175</vt:i4>
      </vt:variant>
      <vt:variant>
        <vt:i4>35</vt:i4>
      </vt:variant>
      <vt:variant>
        <vt:i4>0</vt:i4>
      </vt:variant>
      <vt:variant>
        <vt:i4>5</vt:i4>
      </vt:variant>
      <vt:variant>
        <vt:lpwstr/>
      </vt:variant>
      <vt:variant>
        <vt:lpwstr>_Toc53814460</vt:lpwstr>
      </vt:variant>
      <vt:variant>
        <vt:i4>1572924</vt:i4>
      </vt:variant>
      <vt:variant>
        <vt:i4>32</vt:i4>
      </vt:variant>
      <vt:variant>
        <vt:i4>0</vt:i4>
      </vt:variant>
      <vt:variant>
        <vt:i4>5</vt:i4>
      </vt:variant>
      <vt:variant>
        <vt:lpwstr/>
      </vt:variant>
      <vt:variant>
        <vt:lpwstr>_Toc53814459</vt:lpwstr>
      </vt:variant>
      <vt:variant>
        <vt:i4>1638460</vt:i4>
      </vt:variant>
      <vt:variant>
        <vt:i4>29</vt:i4>
      </vt:variant>
      <vt:variant>
        <vt:i4>0</vt:i4>
      </vt:variant>
      <vt:variant>
        <vt:i4>5</vt:i4>
      </vt:variant>
      <vt:variant>
        <vt:lpwstr/>
      </vt:variant>
      <vt:variant>
        <vt:lpwstr>_Toc53814458</vt:lpwstr>
      </vt:variant>
      <vt:variant>
        <vt:i4>1441852</vt:i4>
      </vt:variant>
      <vt:variant>
        <vt:i4>26</vt:i4>
      </vt:variant>
      <vt:variant>
        <vt:i4>0</vt:i4>
      </vt:variant>
      <vt:variant>
        <vt:i4>5</vt:i4>
      </vt:variant>
      <vt:variant>
        <vt:lpwstr/>
      </vt:variant>
      <vt:variant>
        <vt:lpwstr>_Toc53814457</vt:lpwstr>
      </vt:variant>
      <vt:variant>
        <vt:i4>1507388</vt:i4>
      </vt:variant>
      <vt:variant>
        <vt:i4>23</vt:i4>
      </vt:variant>
      <vt:variant>
        <vt:i4>0</vt:i4>
      </vt:variant>
      <vt:variant>
        <vt:i4>5</vt:i4>
      </vt:variant>
      <vt:variant>
        <vt:lpwstr/>
      </vt:variant>
      <vt:variant>
        <vt:lpwstr>_Toc53814456</vt:lpwstr>
      </vt:variant>
      <vt:variant>
        <vt:i4>1310780</vt:i4>
      </vt:variant>
      <vt:variant>
        <vt:i4>20</vt:i4>
      </vt:variant>
      <vt:variant>
        <vt:i4>0</vt:i4>
      </vt:variant>
      <vt:variant>
        <vt:i4>5</vt:i4>
      </vt:variant>
      <vt:variant>
        <vt:lpwstr/>
      </vt:variant>
      <vt:variant>
        <vt:lpwstr>_Toc53814455</vt:lpwstr>
      </vt:variant>
      <vt:variant>
        <vt:i4>1376316</vt:i4>
      </vt:variant>
      <vt:variant>
        <vt:i4>17</vt:i4>
      </vt:variant>
      <vt:variant>
        <vt:i4>0</vt:i4>
      </vt:variant>
      <vt:variant>
        <vt:i4>5</vt:i4>
      </vt:variant>
      <vt:variant>
        <vt:lpwstr/>
      </vt:variant>
      <vt:variant>
        <vt:lpwstr>_Toc53814454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27</cp:revision>
  <cp:lastPrinted>2008-02-01T10:09:00Z</cp:lastPrinted>
  <dcterms:created xsi:type="dcterms:W3CDTF">2021-01-13T09:38:00Z</dcterms:created>
  <dcterms:modified xsi:type="dcterms:W3CDTF">2021-01-18T22:41:00Z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ies>
</file>